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Rosenthal Arnon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6"/>
        <w:gridCol w:w="899"/>
        <w:gridCol w:w="771"/>
        <w:gridCol w:w="597"/>
        <w:gridCol w:w="339"/>
        <w:gridCol w:w="907"/>
        <w:gridCol w:w="431"/>
        <w:gridCol w:w="877"/>
        <w:gridCol w:w="1247"/>
        <w:gridCol w:w="968"/>
        <w:gridCol w:w="10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72,606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2.6647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2,294,600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922,875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1,002,500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1,002,500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1,002,500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$2.49 to $2.75. Full information regarding the number of shares sold at each separate price can be furnished to the SEC staff, the issuer, or any security holder of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securities are held directly by The Rosenthal Family Revocable Trust Dated November 4, 1994, as restated on June 9, 1999,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securities are held directly by the Adi Rosenthal 2007 Trust dated March 27, 2007,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reported securities are held directly by the Noam Rosenthal 2007 Trust dated March 27, 2007,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reported securities are held directly by the Shani Rosenthal 2007 Trust dated March 27, 2007, for which the Reporting Person serves as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Wong-Sarad,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770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781</Words>
  <Characters>4175</Characters>
  <CharactersWithSpaces>4867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