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4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4990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LAVIGNE LOUIS J JR</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7"/>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Alector,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ALEC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w w:val="96"/>
              </w:rPr>
              <w:t>Director</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ALECTOR, INC.</w:t>
            </w:r>
          </w:p>
        </w:tc>
        <w:tc>
          <w:tcPr>
            <w:tcW w:w="114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06/17/2026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131 OYSTER POINT BLVD., SUITE 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20" w:type="dxa"/>
            <w:vAlign w:val="bottom"/>
            <w:gridSpan w:val="5"/>
            <w:vMerge w:val="restart"/>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2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gridSpan w:val="2"/>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640" w:type="dxa"/>
            <w:vAlign w:val="bottom"/>
            <w:tcBorders>
              <w:top w:val="single" w:sz="8" w:color="2C2C2C"/>
            </w:tcBorders>
            <w:gridSpan w:val="19"/>
          </w:tcPr>
          <w:p>
            <w:pPr>
              <w:ind w:left="2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06/17/2026</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28,700</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2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128,109</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10,552</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40" w:type="dxa"/>
            <w:vAlign w:val="bottom"/>
            <w:gridSpan w:val="19"/>
          </w:tcPr>
          <w:p>
            <w:pPr>
              <w:jc w:val="center"/>
              <w:ind w:left="196"/>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2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9,450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06/16/2036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5"/>
              </w:rPr>
              <w:t>9,450</w:t>
            </w:r>
          </w:p>
        </w:tc>
        <w:tc>
          <w:tcPr>
            <w:tcW w:w="28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17, 2027 or (ii) the date of the Issuer's next annual meeting of stockholders.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held of record by Lavrite, LLC, for which the reporting person serves as managing director.</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12 equal monthly installments beginning on July 17, 2026, provided that the shares subject to the option will vest in full on the earlier of the one-year anniversary of the date of grant or the date of the Issuer's next annual meeting of stockholders.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Grace Wong-Sarad, by</w:t>
            </w:r>
          </w:p>
        </w:tc>
        <w:tc>
          <w:tcPr>
            <w:tcW w:w="3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4127" TargetMode="External"/><Relationship Id="rId14" Type="http://schemas.openxmlformats.org/officeDocument/2006/relationships/hyperlink" Target="http://www.sec.gov/cgi-bin/browse-edgar?action=getcompany&amp;CIK=0001653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2026-06-17T15:10:22Z</dcterms:created>
  <dcterms:modified xsi:type="dcterms:W3CDTF">2026-06-17T15:10:22Z</dcterms:modified>
</cp:coreProperties>
</file>