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17628d424b5.htm"/>
        <w:bookmarkStart w:id="1" w:name="ksd417628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333-294241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April 30, 2026) </w:t>
      </w:r>
    </w:p>
    <w:p>
      <w:pPr>
        <w:pStyle w:val="TextBody"/>
        <w:bidi w:val="0"/>
        <w:spacing w:before="240" w:after="0"/>
        <w:jc w:val="center"/>
        <w:rPr>
          <w:rFonts w:ascii="Times New Roman" w:hAnsi="Times New Roman"/>
          <w:b/>
          <w:sz w:val="48"/>
        </w:rPr>
      </w:pPr>
      <w:r>
        <w:rPr>
          <w:rFonts w:ascii="Times New Roman" w:hAnsi="Times New Roman"/>
          <w:b/>
          <w:sz w:val="48"/>
        </w:rPr>
        <w:t xml:space="preserve">ALECTOR,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3458845" cy="995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58845" cy="995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36,600,000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36,600,000 shares of our common stock, par value $0.0001 per share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“ALEC”. On October 15, 2026, the last reported sale price of our common stock on The Nasdaq Global Select Market was $1.91 per share. </w:t>
      </w:r>
    </w:p>
    <w:p>
      <w:pPr>
        <w:pStyle w:val="TextBody"/>
        <w:bidi w:val="0"/>
        <w:spacing w:before="240" w:after="0"/>
        <w:jc w:val="left"/>
        <w:rPr>
          <w:rFonts w:ascii="Times New Roman" w:hAnsi="Times New Roman"/>
          <w:sz w:val="20"/>
        </w:rPr>
      </w:pPr>
      <w:r>
        <w:rPr>
          <w:rFonts w:ascii="Times New Roman" w:hAnsi="Times New Roman"/>
          <w:sz w:val="20"/>
        </w:rPr>
        <w:t xml:space="preserve">We are a “smaller reporting company” as defined under the federal securities laws and, as such, we have elected to comply with certain reduced reporting requirements for this prospectus supplement and may elect to do so in future filings. </w:t>
      </w:r>
    </w:p>
    <w:p>
      <w:pPr>
        <w:pStyle w:val="TextBody"/>
        <w:bidi w:val="0"/>
        <w:spacing w:before="240" w:after="0"/>
        <w:jc w:val="left"/>
        <w:rPr/>
      </w:pPr>
      <w:r>
        <w:rPr>
          <w:rFonts w:ascii="Times New Roman" w:hAnsi="Times New Roman"/>
          <w:b/>
          <w:sz w:val="24"/>
        </w:rPr>
        <w:t>Investing in our securities involves a high degree of risk. See “</w:t>
      </w:r>
      <w:hyperlink w:anchor="supprom417628_3">
        <w:r>
          <w:rPr>
            <w:rStyle w:val="InternetLink"/>
            <w:rFonts w:ascii="Times New Roman" w:hAnsi="Times New Roman"/>
            <w:b/>
            <w:sz w:val="24"/>
          </w:rPr>
          <w:t>Risk Factors</w:t>
        </w:r>
      </w:hyperlink>
      <w:r>
        <w:rPr>
          <w:rFonts w:ascii="Times New Roman" w:hAnsi="Times New Roman"/>
          <w:b/>
          <w:sz w:val="24"/>
        </w:rPr>
        <w:t xml:space="preserve">” beginning on page S-6 of this prospectus supplement, page 4 of the accompanying prospectus and in the reports we file with the Securities and Exchange Commission pursuant to the Securities and Exchange Act of 1934, as amended, incorporated by reference in this prospectus supplement and the accompanying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32"/>
        <w:gridCol w:w="314"/>
        <w:gridCol w:w="208"/>
        <w:gridCol w:w="914"/>
        <w:gridCol w:w="60"/>
        <w:gridCol w:w="314"/>
        <w:gridCol w:w="140"/>
        <w:gridCol w:w="1159"/>
        <w:gridCol w:w="64"/>
      </w:tblGrid>
      <w:tr>
        <w:trPr/>
        <w:tc>
          <w:tcPr>
            <w:tcW w:w="7032"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03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7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314"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2.05</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75,030,000</w:t>
            </w:r>
          </w:p>
        </w:tc>
        <w:tc>
          <w:tcPr>
            <w:tcW w:w="64" w:type="dxa"/>
            <w:tcBorders/>
            <w:shd w:fill="CCEEFF" w:val="clear"/>
            <w:vAlign w:val="bottom"/>
          </w:tcPr>
          <w:p>
            <w:pPr>
              <w:pStyle w:val="TableContents"/>
              <w:bidi w:val="0"/>
              <w:spacing w:before="0" w:after="283"/>
              <w:jc w:val="left"/>
              <w:rPr/>
            </w:pPr>
            <w:r>
              <w:rPr/>
              <w:t> </w:t>
            </w:r>
          </w:p>
        </w:tc>
      </w:tr>
      <w:tr>
        <w:trPr/>
        <w:tc>
          <w:tcPr>
            <w:tcW w:w="703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14"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914" w:type="dxa"/>
            <w:tcBorders/>
            <w:vAlign w:val="bottom"/>
          </w:tcPr>
          <w:p>
            <w:pPr>
              <w:pStyle w:val="TableContents"/>
              <w:bidi w:val="0"/>
              <w:spacing w:before="0" w:after="283"/>
              <w:jc w:val="right"/>
              <w:rPr/>
            </w:pPr>
            <w:r>
              <w:rPr/>
              <w:t>0.123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4,501,800</w:t>
            </w:r>
          </w:p>
        </w:tc>
        <w:tc>
          <w:tcPr>
            <w:tcW w:w="64" w:type="dxa"/>
            <w:tcBorders/>
            <w:vAlign w:val="bottom"/>
          </w:tcPr>
          <w:p>
            <w:pPr>
              <w:pStyle w:val="TableContents"/>
              <w:bidi w:val="0"/>
              <w:spacing w:before="0" w:after="283"/>
              <w:jc w:val="left"/>
              <w:rPr/>
            </w:pPr>
            <w:r>
              <w:rPr/>
              <w:t> </w:t>
            </w:r>
          </w:p>
        </w:tc>
      </w:tr>
      <w:tr>
        <w:trPr/>
        <w:tc>
          <w:tcPr>
            <w:tcW w:w="7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14"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1.927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70,528,200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beginning on page S-18 for additional information regarding the underwriters’ compensation.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is expected to be made on or about October 19,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b/>
          <w:i/>
          <w:sz w:val="20"/>
        </w:rPr>
        <w:t>Joint Active Bookrunners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Morgan Stanley</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BTIG</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October 16,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b/>
              </w:rPr>
            </w:pPr>
            <w:r>
              <w:rPr>
                <w:b/>
              </w:rPr>
              <w:t>Prospectus Supplement</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3">
              <w:r>
                <w:rPr>
                  <w:rStyle w:val="InternetLink"/>
                  <w:rFonts w:ascii="Times New Roman" w:hAnsi="Times New Roman"/>
                  <w:sz w:val="20"/>
                </w:rPr>
                <w:t xml:space="preserve">RISK FACTORS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6">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7">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8">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rom417628_12">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b/>
              </w:rPr>
            </w:pPr>
            <w:r>
              <w:rPr>
                <w:b/>
              </w:rPr>
              <w:t>Prospectus</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2">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6">
              <w:r>
                <w:rPr>
                  <w:rStyle w:val="InternetLink"/>
                  <w:rFonts w:ascii="Times New Roman" w:hAnsi="Times New Roman"/>
                  <w:sz w:val="20"/>
                </w:rPr>
                <w:t>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7">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10">
              <w:r>
                <w:rPr>
                  <w:rStyle w:val="InternetLink"/>
                  <w:rFonts w:ascii="Times New Roman" w:hAnsi="Times New Roman"/>
                  <w:sz w:val="20"/>
                </w:rPr>
                <w:t>DESCRIPTION OF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17628_16">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41762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part of the registration statement that we filed with the Securities and Exchange Commission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and the accompanying prospectus titled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or into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“Alector,” “the Company,” “we,” “us” and “our” in this prospectus supplement or the accompanying prospectus, we mean Alector, Inc., unless the context indicates otherwise or unless otherwise specified. When we refer to “you,” we mean the potential purchasers of the applicable series of securities offered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417628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prospectus supplement and the accompanying prospectus and in the documents we incorporate by reference herein and therein. This summary does not contain all the information that you should consider before making an investment decision. You should read this entire prospectus supplement and the accompanying prospectus carefully, especially the risks of investing in our common stock discussed under “Risk Factors” beginning on page S-6 of this prospectus supplement, the “Risk Factors” section of our most recent Quarterly Report on Form 10-Q, as well as any amendments thereto, along with our consolidated financial statements and notes to those consolidated financial statements and the other information incorporated by reference in this prospectus supplement and the accompanying prospectus and in our filings with the SEC. This prospectus supplement may add to, update or change information in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biotechnology company developing therapies for neurodegenerative diseases, with a focus on areas of high unmet medical need. Our work is informed by advances in disease biology, including the roles of misfolded or deficient proteins, lysosomal dysfunction, and immune and neuronal pathway disruption.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objective is to develop product candidates that address disease through targeted mechanisms, such as removing pathogenic proteins, replacing deficient proteins, and restoring normal cellular function. We are advancing a portfolio of programs focused on genetically validated targets, supported by our experience in drug development, protein engineering, antibody discovery, and biomarker assessment.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key component of our strategy is the development and application of our Alector Brain Carrier (ABC) platform, a proprietary blood-brain barrier (BBB) delivery technology designed to improve central nervous system exposure across multiple therapeutic modalities. Built on the core design principles of versatility, translatability, and differentiated binding to a distinct region of the transferrin receptor (TfR), ABC is intended to support the targeted delivery of therapeutics to the brain and to optimize their safety and efficacy at lower doses. With a wide range of TfR binding affinities and binding kinetics, and the ability to target a distinct epitope of TfR, the platform can be aligned with the requirements of diverse therapeutic cargos, including antibodies, enzymes, proteins, and siRNA. The platform’s TfR binding domain is further adaptable to diverse engineered formats, enabling broad applicability to our product candidates. By leveraging these proprietary features, we aim to achieve efficient transport of our product candidates across the BBB with the goal of balancing brain uptake, potency, and safety. Our next generation pipeline, built on the ABC platform and distinct from our prior clinical programs, positions us to develop therapeutic candidates for a range of neurodegenerative diseases.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initially formed as a limited liability company in Delaware in May 2013 under the name Alector LLC and completed our restructuring to a corporation in October 2017 under the name Alector, Inc. Our principal executive offices are located at 131 Oyster Point Boulevard, Suite 600, South San Francisco, California 94080. Our telephone number is (415) 231-5660. Our website address is www.alector.com. This website address is not intended to be an active link. Information contained on or accessible through our website is not a part of this prospectus supplement or the accompanying prospectus and is not incorporated by reference herein or therein, and the inclusion of our website address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Alector, the Alector logo, and other marks as trademarks in the United States and other countries. This prospectus supplement and the accompanying prospectus contain references to our trademarks and service marks and to those belonging to other entities. Solely for convenience, trademarks and trade names referred to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supplement and the accompanying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7" w:type="dxa"/>
            <w:tcBorders/>
          </w:tcPr>
          <w:p>
            <w:pPr>
              <w:pStyle w:val="TableContents"/>
              <w:bidi w:val="0"/>
              <w:spacing w:before="0" w:after="283"/>
              <w:jc w:val="left"/>
              <w:rPr/>
            </w:pPr>
            <w:r>
              <w:rPr/>
              <w:t xml:space="preserve">36,600,000 shares of our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Total common stock to be outstanding immediately after this offering </w:t>
            </w:r>
          </w:p>
        </w:tc>
        <w:tc>
          <w:tcPr>
            <w:tcW w:w="6329" w:type="dxa"/>
            <w:tcBorders/>
          </w:tcPr>
          <w:p>
            <w:pPr>
              <w:pStyle w:val="TableContents"/>
              <w:bidi w:val="0"/>
              <w:spacing w:before="0" w:after="283"/>
              <w:jc w:val="left"/>
              <w:rPr/>
            </w:pPr>
            <w:r>
              <w:rPr/>
              <w:t xml:space="preserve">148,256,805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6" w:type="dxa"/>
            <w:tcBorders/>
          </w:tcPr>
          <w:p>
            <w:pPr>
              <w:pStyle w:val="TableContents"/>
              <w:bidi w:val="0"/>
              <w:spacing w:before="0" w:after="283"/>
              <w:jc w:val="left"/>
              <w:rPr/>
            </w:pPr>
            <w:r>
              <w:rPr/>
              <w:t xml:space="preserve">We estimate that the net proceeds from this offering will be approximately $70.2 million, after deducting underwriting discounts and commissions and estimated offering expenses payable by us. We intend to use the net proceeds from this offering for general corporate purposes, which may include research, development and manufacturing of our product candidates, working capital, capital expenditures, other corporate expenses, and acquisitions of, or strategic transactions in, complementary products, technologies, or businesses.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9" w:type="dxa"/>
            <w:tcBorders/>
          </w:tcPr>
          <w:p>
            <w:pPr>
              <w:pStyle w:val="TableContents"/>
              <w:bidi w:val="0"/>
              <w:spacing w:before="0" w:after="283"/>
              <w:jc w:val="left"/>
              <w:rPr/>
            </w:pPr>
            <w:r>
              <w:rPr/>
              <w:t xml:space="preserve">Investing in our securities involves substantial risks. You should read the “Risk Factors” section beginning on page S-6 of this prospectus supplement and in the documents incorporated by reference into this prospectus supplement and the accompanying prospectus for a discussion of the factors you should carefully consider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Global Select Market Symbol </w:t>
            </w:r>
          </w:p>
        </w:tc>
        <w:tc>
          <w:tcPr>
            <w:tcW w:w="6328" w:type="dxa"/>
            <w:tcBorders/>
          </w:tcPr>
          <w:p>
            <w:pPr>
              <w:pStyle w:val="TableContents"/>
              <w:bidi w:val="0"/>
              <w:spacing w:before="0" w:after="283"/>
              <w:jc w:val="left"/>
              <w:rPr/>
            </w:pPr>
            <w:r>
              <w:rPr/>
              <w:t xml:space="preserve">ALEC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immediately after this offering is based on 111,656,805 shares of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10,043,385 shares of common stock issuable upon exercise of options to purchase shares of our common stock outstanding as of June 30, 2026 under our 2017 Stock Option and Grant Plan (the 2017 Plan), 2019 Equity Incentive Plan (the 2019 Plan) and 2022 Inducement Equity Incentive Plan (the Inducement Plan), at a weighted-average exercise price of $11.38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3,372,241 shares of common stock issuable upon exercise of options outstanding that were granted after June 30, 2026 with a weighted average exercise price of $1.88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2,654,292 shares of common stock issuable pursuant to restricted stock units (RSUs), as of June 30, 2026 under our 2019 Plan and Inducement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1,766,900 shares of common stock subject to RSUs outstanding that were granted after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17,344,579 shares of common stock reserved for future issuance under our 2019 Plan as of June 30, 2026 (which number is prior to the options and RSUs granted after June 30, 2026 in the preceding bullets), as well as any automatic increases in the number of shares of common stock reserved for future issuance under this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2,625,872 shares of common stock reserved for future issuance under our Inducement Plan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4,306,635 shares of common stock reserved for issuance under our 2019 Employee Stock Purchase Plan (ESPP) as of June 30, 2026, as well as any automatic increases in the number of shares of common stock reserved for future issuance under this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of stock options, restricted stock units or other equity awards described above, no grant of additional awards under our Inducement Plan, and no issuance of shares under the ESPP, in each case, after June 30,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number of shares of our common stock to be outstanding immediately after this offering as shown above does not include shares of our common stock having an aggregate offering price of up to $125.0 million that remain available for sale as of the date hereof pursuant to our Sales Agreement (the Sales Agreement) with TD Securities (USA) LLC, dated May 7, 2026. Between June 30, 2026 and the date of this prospectus supplement, we sold no shares of our common stock under the Sales Agreement. We have agreed not to make any sales under the Sales Agreement until the expiration or waiver of the 30-day lock-up period applicable to us and described in the section titled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417628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in addition to the other information contained in this prospectus supplement, the accompanying prospectus and in the documents we incorporate by reference herein or therein, you should carefully consider the risks discussed below, as well as the risks described in the section titled “Risk Factors” contained in our most recent Quarterly Report on Form 10-Q, as well as any amendments thereto, which are incorporated by reference into this prospectus in their entirety, together with other information in this prospectus supplement, the accompanying prospectus, the documents incorporated by reference, and any related free writing prospectus that we may authorize. The risks and uncertainties we have described are not the only ones we face.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 See the sections titled “Where You Can Find More Information” and “Incorporation of Certain Information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how we use the net proceeds from this offering. We may not use these proceeds effectively, which could affect our results of operations and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We cannot specify with certainty the particular uses of any net proceeds we will receive from this offering. Our management will have broad discretion in the application of the net proceeds, including for any of the purposes described in the section titled “Use of Proceeds.” We intend to use the net proceeds from this offering, if any, for general corporate purposes, which may include research, development and manufacturing of our product candidates, working capital, capital expenditures, other corporate expenses, and acquisitions of, or strategic transactions in, complementary products, technologies, or businesses.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common stock in this offering, you will incur immediate and substantial dilution in the book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of our common stock in this offering will incur immediate and substantial dilution in the net tangible book value of the common stock purchased in this offering if the price per share of common stock in this offering is substantially higher than the net tangible book value per common share based on the total value of our tangible assets less our total liabilities immediately following this offering. Our net tangible book value as of June 30, 2026 was approximately $(9.97) million, or $(0.09) per share of our common stock. Therefore, if you purchase shares of common stock in this offering, you will suffer immediate and substantial dilution of $1.64 per share with respect to the net tangible book value of our common stock, based on the offering price of $2.05 per share. The exercise of outstanding stock options and the vesting and settlement of outstanding RSUs could result in further dilution of your investment. See the section titled “Dilution” in this prospectus supplement for a detailed discussion of the dilution you will incur if you purchase common stock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restrict our operations or require us to relinquish rights to our technologies or product candidates, and if we sell shares of our common stock in future financings, stockholders may experience immediate dilution and, as a result, our stock price may decline.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product revenues, we expect to finance our cash needs through a combination of equity offerings, debt financings, partnerships and marketing, distribution, or licensing arrangements. In order to raise additional capital, we may, in the future, offer additional shares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or other securities convertible into or exchangeable for our common stock at prices that may not be the same as the price per share in this offering. In addition, as opportunities present themselves, we may enter into financing or similar arrangements in the future, including the issuance of debt securities or preferred stock.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If we issue common stock or securities convertible into common stock, our stockholders would experience additional dilution and, as a result, our stock price may decline.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partnerships or marketing, distribution, or licensing arrangements with third parties, we may have to relinquish valuable rights to our technologies, future revenue streams,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common stock in the public market, or the perception that such sales could occur,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417628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and any free writing prospectus that we may have authorized for use in connection with this offering contain statements that are not historical facts and are considered forward-looking within the meaning of Section 27A of the Securities Act of 1933, as amended (the Securities Act), and Section 21E of the Securities Exchange Act of 1934, as amended (the Exchange Act). All statements other than statements of historical facts contained in this prospectus, the accompanying prospectus and the documents incorporated herein and therein by reference,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Those statements may appear in this prospectus supplement, the accompanying prospectus and the documents incorporated herein and therein by reference, particularly in the sections titled “Prospectus Summary,” “Risk Factors,” “Management’s Discussion and Analysis of Financial Condition and Results of Operations” and “Business,” and include statements regarding our, and our management’s intent, belief or current expectations that are subject to known and unknown risks, uncertainties and assumptions. Forward-looking statements contained in this prospectus supplement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research, development and manufacture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timing for advancing research and pre-clinical stage programs into clinical development and our ability to execute on those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collaborations and licenses with third parties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in the United States, the European Union, and other regions who suffer from the diseases we are targeting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focus of our future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our sales and marketing strategy and the regions and countries selected for commercialization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in each of the diseases we are targeting;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our product candidates into additional indications and patient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capabilities of our product candidates and technologies relative to competing therapies and technologies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including our expectation to seek special designations, such as orphan drug designation, for our product candidates for various diseases;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and potential future government actions, legislation, regulations, regulatory developments, and regulatory agency policies and procedures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anticipate our personnel needs and to attract and retain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additional financing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including potential volatility in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worldwide economic conditions, including macroeconomic conditions, inflation, supply chain disruptions, trade tariffs, and economic impacts of pandemics or other public health outbreaks and geopolitical events, such as international conflict,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cash equivalents, and marketable securities to fund our future operating expenses and capital expenditure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intended use of the net proceeds from any sales of our common stock in this offering, under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the document containing the applicable statement and are subject to a number of risks, uncertainties and assumptions described in the section titled “Risk Factors” and elsewhere in this prospectus supplement, the accompanying prospectus and the documents incorporated herein and therein by reference.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publicly any forward-looking statements for any reason after the date of this prospectus supplement to conform these statements to actual results or to changes in expectations.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or the accompanying prospectus, as the case may be,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herein and therein by reference, and any free writing prospectus that we may have authorized for use in connection with this offering contain estimates, projections and other information concerning our industry, our business and the markets for our product candidates. We obtained the industry, market and similar data set forth in this prospectus supplement, the accompanying prospectus and the documents incorporated herein and therein by reference, or any free writing prospectus, as the case may be, from our own internal estimates and research and from academic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41762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will be approximately $70.2 million,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for general corporate purposes, which may include research, development, and manufacturing of our product candidates, working capital, capital expenditures, other corporate expenses, and acquisitions of, or strategic transactions in, complementary products, technologies, or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timing and amount of our actual expenditures will be based on many factors, including cash flows from operations and the anticipated growth of our business. 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 Pending their ultimate use, we intend to invest the net proceeds in short-term,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417628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price per share of our common stock in this offering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as of June 30, 2026 was $(9.97) million, or $(0.09) per share, based on 111,656,805 shares of common stock outstanding as of such date. Our historical net tangible book value per share represents total tangible assets, less total liabilities, all divided by the number of shares of common stock outstanding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by us of shares of our common stock having an aggregate offering price of approximately $75.0 million in shares of our common stock at the offering price of $2.05 per share, and after deducting estimated underwriting discounts and commissions and estimated offering expenses payable by us, our as adjusted net tangible book value as of June 30, 2026 would have been approximately $60.3 million, or approximately $0.41 per share of common stock. This represents an immediate increase in as adjusted net tangible book value per share of $0.50 to our existing stockholders and an immediate dilution in as adjusted net tangible book value per share of approximately $1.64 to new investors purchasing common stock in this offering. Dilution per share to new investors purchasing common stock in this offering is determined by subtracting as adjusted net tangible book value per share after this offering from the assumed offering price per share paid by new investors.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09"/>
        <w:gridCol w:w="250"/>
        <w:gridCol w:w="140"/>
        <w:gridCol w:w="586"/>
        <w:gridCol w:w="155"/>
        <w:gridCol w:w="212"/>
        <w:gridCol w:w="140"/>
        <w:gridCol w:w="451"/>
        <w:gridCol w:w="62"/>
      </w:tblGrid>
      <w:tr>
        <w:trPr/>
        <w:tc>
          <w:tcPr>
            <w:tcW w:w="8209"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2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1" w:type="dxa"/>
            <w:tcBorders/>
            <w:shd w:fill="CCEEFF" w:val="clear"/>
            <w:vAlign w:val="bottom"/>
          </w:tcPr>
          <w:p>
            <w:pPr>
              <w:pStyle w:val="TableContents"/>
              <w:bidi w:val="0"/>
              <w:spacing w:before="0" w:after="283"/>
              <w:jc w:val="right"/>
              <w:rPr/>
            </w:pPr>
            <w:r>
              <w:rPr/>
              <w:t>2.05</w:t>
            </w:r>
          </w:p>
        </w:tc>
        <w:tc>
          <w:tcPr>
            <w:tcW w:w="62" w:type="dxa"/>
            <w:tcBorders/>
            <w:shd w:fill="CCEEFF" w:val="clear"/>
            <w:vAlign w:val="bottom"/>
          </w:tcPr>
          <w:p>
            <w:pPr>
              <w:pStyle w:val="TableContents"/>
              <w:bidi w:val="0"/>
              <w:spacing w:before="0" w:after="283"/>
              <w:jc w:val="left"/>
              <w:rPr/>
            </w:pPr>
            <w:r>
              <w:rPr/>
              <w:t> </w:t>
            </w:r>
          </w:p>
        </w:tc>
      </w:tr>
      <w:tr>
        <w:trPr/>
        <w:tc>
          <w:tcPr>
            <w:tcW w:w="8209"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(0.09</w:t>
            </w:r>
          </w:p>
        </w:tc>
        <w:tc>
          <w:tcPr>
            <w:tcW w:w="15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2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this offering</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0.50</w:t>
            </w:r>
          </w:p>
        </w:tc>
        <w:tc>
          <w:tcPr>
            <w:tcW w:w="15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209"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209"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0.41</w:t>
            </w:r>
          </w:p>
        </w:tc>
        <w:tc>
          <w:tcPr>
            <w:tcW w:w="62" w:type="dxa"/>
            <w:tcBorders/>
            <w:vAlign w:val="bottom"/>
          </w:tcPr>
          <w:p>
            <w:pPr>
              <w:pStyle w:val="TableContents"/>
              <w:bidi w:val="0"/>
              <w:spacing w:before="0" w:after="283"/>
              <w:jc w:val="left"/>
              <w:rPr/>
            </w:pPr>
            <w:r>
              <w:rPr/>
              <w:t> </w:t>
            </w:r>
          </w:p>
        </w:tc>
      </w:tr>
      <w:tr>
        <w:trPr/>
        <w:tc>
          <w:tcPr>
            <w:tcW w:w="8209"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2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shares in this offering</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1" w:type="dxa"/>
            <w:tcBorders/>
            <w:shd w:fill="CCEEFF" w:val="clear"/>
            <w:vAlign w:val="bottom"/>
          </w:tcPr>
          <w:p>
            <w:pPr>
              <w:pStyle w:val="TableContents"/>
              <w:bidi w:val="0"/>
              <w:spacing w:before="0" w:after="283"/>
              <w:jc w:val="right"/>
              <w:rPr/>
            </w:pPr>
            <w:r>
              <w:rPr/>
              <w:t>1.64</w:t>
            </w:r>
          </w:p>
        </w:tc>
        <w:tc>
          <w:tcPr>
            <w:tcW w:w="62" w:type="dxa"/>
            <w:tcBorders/>
            <w:shd w:fill="CCEEFF" w:val="clear"/>
            <w:vAlign w:val="bottom"/>
          </w:tcPr>
          <w:p>
            <w:pPr>
              <w:pStyle w:val="TableContents"/>
              <w:bidi w:val="0"/>
              <w:spacing w:before="0" w:after="283"/>
              <w:jc w:val="left"/>
              <w:rPr/>
            </w:pPr>
            <w:r>
              <w:rPr/>
              <w:t> </w:t>
            </w:r>
          </w:p>
        </w:tc>
      </w:tr>
      <w:tr>
        <w:trPr/>
        <w:tc>
          <w:tcPr>
            <w:tcW w:w="8209"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(other than historical net tangible book value) are based on 111,656,805 shares of common stock outstanding as of June 30, 2026 and exclude as of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10,043,385 shares of common stock issuable upon exercise of options to purchase shares of our common stock outstanding as of June 30, 2026 under the 2017 Plan, the 2019 Plan and the Inducement Plan, at a weighted-average exercise price of $11.38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3,372,241 shares of common stock issuable upon exercise of options outstanding that were granted after June 30, 2026 with a weighted average exercise price of $1.88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2,654,292 shares of common stock issuable pursuant to RSUs, as of June 30, 2026 under our 2019 Plan and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1,766,900 shares of common stock subject to RSUs outstanding that were granted after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17,344,579 shares of common stock reserved for future issuance under our 2019 Plan as of June 30, 2026 (which number is prior to the options and RSUs granted after June 30, 2026 in the preceding bullets), as well as any automatic increases in the number of shares of common stock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2,625,872 shares of common stock reserved for future issuance under our Inducement Plan as of June 30, 2026;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4,306,635 shares of common stock reserved for issuance under our ESPP as of June 30, 2026, as well as any automatic increases in the number of shares of common stock reserved for future issuance under this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options are exercised, any RSUs are settled, any new awards are issued under our equity incentive plans, or we otherwise issue additional shares of common stock or securities convertible into shares of our common stock in the future (including shares issued in connection with acquisitions), there will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417628_7"/>
      <w:bookmarkEnd w:id="9"/>
      <w:r>
        <w:rPr>
          <w:rFonts w:ascii="Times New Roman" w:hAnsi="Times New Roman"/>
          <w:b/>
          <w:sz w:val="20"/>
        </w:rPr>
        <w:t xml:space="preserve">MATERIAL U.S. FEDERAL INCOME TAX CONSIDERATIONS FOR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summary also does not address the tax considerations arising under the laws of any non-U.S., state or local jurisdiction or under U.S. federal non-income (such as gift and estate) tax rules. In addition, this discussion does not address tax considerations applicable to an investor’s particular circumstances or to investors that may be subject to special tax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regulated investment companies, real estate investment trusts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or the tax on net investment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other pass-through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foreign controlled foreign corporations or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tax accounting for their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more than five percent of our capital stock (except to the extent specifically set forth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our common stock as a position in a hedging transaction, “straddle,”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under Section 451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do not hold our common stock as a capital asset within the meaning of Section 1221 of the Code (generally, property held for investment);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a partnership (or an entity or arrangement classified as a partnership or flow-through entity for U.S. federal income tax purposes) holds our common stock, the tax treatment of a partner generally will depend on the status of the partner and upon the activities of the partnership (or other entity or arrangement). A partner in a partnership (or other such entity or arrangement) that will hold our common stock should consult his, her or its own tax advisor regarding the tax consequences of the ownership and disposition of our common stock through a partnership (or other such entity or arrangement),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are urged to consult your tax advisor with respect to the application of the U.S. federal income tax laws to your particular situation, as well as any tax consequences of the purchase, ownership and disposition of our common stock arising under the U.S. federal income, gift or estate tax rules or under the laws of any state, local, non-U.S. or other taxing jurisdiction or under any applicable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 Defined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you are a “non-U.S. holder” if you are a beneficial owner of our common stock that, for U.S. federal income tax purposes, is not a partnership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the United States or under the laws of the United States or any political subdivision thereof, or otherwise treated as such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(x) whose administration is subject to the primary supervision of a U.S. court and that has one or more U.S. persons (as defined in the Code) who have the authority to control all substantial decisions of the trust or (y) that has made a valid election under applicable Treasury Regulations to be treated as a U.S. person.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and we do not anticipate paying any dividends on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on effectively connected income, backup withholding and Foreign Account Tax Compliance Act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Under applicable Treasury Regulations, a withholding agent may withhold up to 30% of the gross amount of the entire distribution even if the amount constituting a dividend, as described above, is less than the gross amount. A non-U.S. holder of shares of our common stock eligible for a reduced rate of U.S. federal withholding tax pursuant to an income tax treaty may obtain a refund of any excess amounts withheld by timely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although not subject to U.S. federal withholding tax,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FATCA withholding, you generally will not be required to pay U.S. federal income tax on any gain realized upon the sale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U.S. trade or business (and, if an applicable income tax treaty so provides, the gain is attributable to a permanent establishment or fixed base maintained by you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a period or periods aggregating 183 days or more during the calendar year in which the sale or disposition occurs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United States real property interest by reason of our status as a “United States real property holding corporation” (USRPHC) for U.S. federal income tax purposes at any time within the shorter of the five-year period preceding your disposition of, or your holding period for,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are not currently and will not become a USRPHC for U.S. federal income tax purposes, and the remainder of this discussion so assumes. However, because the determination of whether we are a USRPHC depends on the fair market value of our United States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United States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described in the first bullet above, you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Payments of dividends on or of proceeds from the disposition of our common stock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(FATCA)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and the Treasury Regulations and official IRS guidance issued thereunder, collectively “FATCA,”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withholding tax, including under the exemptions described above. The Treasury Secretary has issued proposed Treasury Regulations, which, if finalized in their present form, would eliminate withholding under FATCA with respect to payment of gross proceeds from a sale or other disposition of our common stock. In its preamble to such proposed Treasury Regulations, the U.S. Treasury stated that taxpayers may generally rely on the proposed Treasury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a non-U.S. holder might be eligible for refunds or credits of such taxes. An intergovernmental agreement between the United States and your country of residence may modify the requirements described in this section. Prospective investors should consult with their own tax advisors regarding the application of FATCA withholding to their investment in, and ownership and disposition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material U.S. federal income tax considerations is for general information only. It is not tax advice to investors in their particular circumstances. Each prospective investor should consult its own tax advisor regarding the particular U.S. federal, state and local and non-U.S. tax consequences of purchasing, owning and disposing of our common stock,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417628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and BTIG, LLC, are acting as representatives, have severally agreed to purchase, and we have agreed to sell them, severally, the number of shares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40"/>
        <w:gridCol w:w="123"/>
        <w:gridCol w:w="60"/>
        <w:gridCol w:w="1119"/>
        <w:gridCol w:w="63"/>
      </w:tblGrid>
      <w:tr>
        <w:trPr/>
        <w:tc>
          <w:tcPr>
            <w:tcW w:w="88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8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2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8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18,300,000</w:t>
            </w:r>
          </w:p>
        </w:tc>
        <w:tc>
          <w:tcPr>
            <w:tcW w:w="63" w:type="dxa"/>
            <w:tcBorders/>
            <w:shd w:fill="CCEEFF" w:val="clear"/>
            <w:vAlign w:val="bottom"/>
          </w:tcPr>
          <w:p>
            <w:pPr>
              <w:pStyle w:val="TableContents"/>
              <w:bidi w:val="0"/>
              <w:spacing w:before="0" w:after="283"/>
              <w:jc w:val="left"/>
              <w:rPr/>
            </w:pPr>
            <w:r>
              <w:rPr/>
              <w:t> </w:t>
            </w:r>
          </w:p>
        </w:tc>
      </w:tr>
      <w:tr>
        <w:trPr/>
        <w:tc>
          <w:tcPr>
            <w:tcW w:w="8840" w:type="dxa"/>
            <w:tcBorders/>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18,300,000</w:t>
            </w:r>
          </w:p>
        </w:tc>
        <w:tc>
          <w:tcPr>
            <w:tcW w:w="63" w:type="dxa"/>
            <w:tcBorders/>
            <w:vAlign w:val="bottom"/>
          </w:tcPr>
          <w:p>
            <w:pPr>
              <w:pStyle w:val="TableContents"/>
              <w:bidi w:val="0"/>
              <w:spacing w:before="0" w:after="283"/>
              <w:jc w:val="left"/>
              <w:rPr/>
            </w:pPr>
            <w:r>
              <w:rPr/>
              <w:t> </w:t>
            </w:r>
          </w:p>
        </w:tc>
      </w:tr>
      <w:tr>
        <w:trPr/>
        <w:tc>
          <w:tcPr>
            <w:tcW w:w="884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8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36,600,000</w:t>
            </w:r>
          </w:p>
        </w:tc>
        <w:tc>
          <w:tcPr>
            <w:tcW w:w="63" w:type="dxa"/>
            <w:tcBorders/>
            <w:shd w:fill="CCEEFF" w:val="clear"/>
            <w:vAlign w:val="bottom"/>
          </w:tcPr>
          <w:p>
            <w:pPr>
              <w:pStyle w:val="TableContents"/>
              <w:bidi w:val="0"/>
              <w:spacing w:before="0" w:after="283"/>
              <w:jc w:val="left"/>
              <w:rPr/>
            </w:pPr>
            <w:r>
              <w:rPr/>
              <w:t> </w:t>
            </w:r>
          </w:p>
        </w:tc>
      </w:tr>
      <w:tr>
        <w:trPr/>
        <w:tc>
          <w:tcPr>
            <w:tcW w:w="884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purchasing the shares from us at $1.927 per share (representing approximately $70.5 million of proceeds to us, before offering expenses). The underwriters may offer the shares of common stock from time to time to purchasers directly or through agents, or through brokers in brokerage transactions on The Nasdaq Global Select Market, or to dealers in negotiated transactions or in a combination of such methods of sale, or otherwise, at a fixed price or prices, which may be changed, or at market prices prevailing at the time of sale, at prices related to such prevailing market prices, or at negotiated prices. The difference between the price at which the underwriters purchase shares from us and the price at which the underwriters resell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estimated offering expenses payable by us, exclusive of underwriting discounts and commissions, are approximately $0.3 million.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“ALEC.”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and our directors and executive officers have agreed that, without the prior written consent of the underwriters we and they will not, during the period ending on and including the 30th day after the date of this prospectus supplement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or </w:t>
      </w:r>
    </w:p>
    <w:p>
      <w:pPr>
        <w:pStyle w:val="TextBody"/>
        <w:bidi w:val="0"/>
        <w:spacing w:before="120" w:after="0"/>
        <w:jc w:val="left"/>
        <w:rPr>
          <w:rFonts w:ascii="Times New Roman" w:hAnsi="Times New Roman"/>
          <w:sz w:val="20"/>
        </w:rPr>
      </w:pPr>
      <w:r>
        <w:rPr>
          <w:rFonts w:ascii="Times New Roman" w:hAnsi="Times New Roman"/>
          <w:sz w:val="20"/>
        </w:rPr>
        <w:t xml:space="preserve">file any registration statement with the SEC relating to the offering of any shares of common stock or any securities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whether any such transaction described in bullets (1) or (2) above is to be settled by delivery of common stock or such other securities, in cash or otherwise. In addition, we and each such person agree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the sale of shares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(b) transactions by any person other than us relating to shares of common stock or other securities acquired in this offering or in open market transactions after the completion of this offering; provided, however, that no filing under Section 16(a) of the Exchange Act of 1934, as amended (the “Exchange Act”) is required or voluntarily made during the restricted period in connection with subsequent sales of the common stock or other securities acquired in such open market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the transfer of shares of common stock or any security convertible into common stock (i) to an immediate family member of the lock-up signatory, or to a trust or other entity formed for estate planning purposes for the benefit of the lock-up signatory or immediate family member, (ii) by bona fide gift, (iii) by will or intestacy, (iv) if the lock-up signatory is a trust, to a trustor or beneficiary of the trust or to the estate of a beneficiary of such trust, or (v) by bona fide gift to a charitable organization, provided that no filing under Section 16(a) of the Exchange Act or other public filing, report, or announcement reporting a reduction in beneficial ownership of shares of common stock or any security convertible into common stock shall be required or voluntarily made during the restricted period; and provided further that in the case of any transfer or distribution pursuant to provisos (ii) or (v), any such required filing shall clearly indicate in the footnotes thereto that the filing relates to circumstances described in such provisos; </w:t>
      </w:r>
    </w:p>
    <w:p>
      <w:pPr>
        <w:pStyle w:val="TextBody"/>
        <w:bidi w:val="0"/>
        <w:spacing w:before="240" w:after="0"/>
        <w:jc w:val="left"/>
        <w:rPr>
          <w:rFonts w:ascii="Times New Roman" w:hAnsi="Times New Roman"/>
          <w:sz w:val="20"/>
        </w:rPr>
      </w:pPr>
      <w:r>
        <w:rPr>
          <w:rFonts w:ascii="Times New Roman" w:hAnsi="Times New Roman"/>
          <w:sz w:val="20"/>
        </w:rPr>
        <w:t xml:space="preserve">(d) if the lock-up signatory is a corporation, partnership, limited liability company, trust, or other business entity, transfers of common stock or any security convertible into common stock (i) to another corporation, partnership, limited liability company, trust, or other business entity that controls, is controlled by, manages, is managed by, or is under common control with the lock-up signatory or its affiliates or (ii) as part of a disposition, transfer, or distribution by the lock-up signatory to its stockholders, partners, members, or other equity holders; provided that no filing under Section 16(a) of the Exchange Act or other public filing, report, or announcement reporting a reduction in beneficial ownership of shares of common stock or securities convertible into common stock shall be required or voluntarily made during the restricted period (other than any required Form 5 filing); </w:t>
      </w:r>
    </w:p>
    <w:p>
      <w:pPr>
        <w:pStyle w:val="TextBody"/>
        <w:bidi w:val="0"/>
        <w:spacing w:before="240" w:after="0"/>
        <w:jc w:val="left"/>
        <w:rPr>
          <w:rFonts w:ascii="Times New Roman" w:hAnsi="Times New Roman"/>
          <w:sz w:val="20"/>
        </w:rPr>
      </w:pPr>
      <w:r>
        <w:rPr>
          <w:rFonts w:ascii="Times New Roman" w:hAnsi="Times New Roman"/>
          <w:sz w:val="20"/>
        </w:rPr>
        <w:t xml:space="preserve">(e) (i) the receipt by the lock-up signatory from us of shares of our common stock upon the exercise of options or the settlement of restricted stock units granted under a stock incentive plan or other equity award plan, as described in this prospectus supplement, insofar as such option or restricted stock unit is outstanding as of the date of this prospectus supplement, or (ii) the transfer of shares of common stock or other securities convertible into common stock to us upon a vesting event of our securities, the settlement of restricted stock units, or the exercise of options to purchase our securities on a “cashless” or “net exercise” basis to the extent permitted by the instruments representing such options or restricted stock units (and any transfer to us necessary to generate cash needed for the payment of taxes due as a result of such vesting, settlement, or exercise) so long as such “cashless exercise” or “net exercise” is effected solely by the surrender of outstanding options or restricted stock units to us and our cancellation of all or a portion thereof, or (iii) any “sell-to-cover” transaction involving a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shares of common stock in connection with the vesting or settlement of restricted stock units granted under a stock incentive plan or other equity award plan, which plan is described in this prospectus supplement, for the payment of tax withholdings or remittance payments due as a result of the vesting or settlement of such restricted stock units. In the case of either (i), (ii) or (iii), no filing under Section 16(a) of the Exchange Act or other public announcement or filing shall be voluntarily made during the restricted period, and the underlying shares issued to the lock-up signatory shall continue to be subject to the terms of the lock-up agreement. For the purpose of (i), (ii) and (iii), filings under Section 16(a) of the Exchange Act shall be permissible if such filings are required and relate solely to “net,” “cashless” or “sell-to-cover” exercises or settlements of stock options, restricted stock units, or other equity awards that would otherwise expire during the restricted period and any such filing includes a statement to the effect that such transfer is being made in connection with a “net,” “cashless” or “sell-to-cover” exercise or settlement of stock options, restricted stock units, or other equity awards, and the lock-up signatory provides written notice to the underwriters at least one business day prior to making any such filings; </w:t>
      </w:r>
    </w:p>
    <w:p>
      <w:pPr>
        <w:pStyle w:val="TextBody"/>
        <w:bidi w:val="0"/>
        <w:spacing w:before="240" w:after="0"/>
        <w:jc w:val="left"/>
        <w:rPr>
          <w:rFonts w:ascii="Times New Roman" w:hAnsi="Times New Roman"/>
          <w:sz w:val="20"/>
        </w:rPr>
      </w:pPr>
      <w:r>
        <w:rPr>
          <w:rFonts w:ascii="Times New Roman" w:hAnsi="Times New Roman"/>
          <w:sz w:val="20"/>
        </w:rPr>
        <w:t xml:space="preserve">(f)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(g) the transfer of shares of common stock or securities convertible into common stock to us pursuant to agreements under which we or any of our equityholders have the option to repurchase such shares of common stock or other securities convertible into common stock upon termination of service of the lock-up signatory; </w:t>
      </w:r>
    </w:p>
    <w:p>
      <w:pPr>
        <w:pStyle w:val="TextBody"/>
        <w:bidi w:val="0"/>
        <w:spacing w:before="240" w:after="0"/>
        <w:jc w:val="left"/>
        <w:rPr>
          <w:rFonts w:ascii="Times New Roman" w:hAnsi="Times New Roman"/>
          <w:sz w:val="20"/>
        </w:rPr>
      </w:pPr>
      <w:r>
        <w:rPr>
          <w:rFonts w:ascii="Times New Roman" w:hAnsi="Times New Roman"/>
          <w:sz w:val="20"/>
        </w:rPr>
        <w:t xml:space="preserve">(h) the transfer of shares of common stock or other securities convertible into common stock pursuant to a bona fide third party tender offer, merger, consolidation, or other similar transaction made to all holders of our capital stock involving a “change of control”, after the completion of this offering, that has been approved by our board of directors, provided that in the event that such transaction is not completed, the lock-up signatory’s shares of common stock or securities convertible into common stock will remain subject to the terms of the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transfer of shares of common stock or securities convertible into common stock pursuant to a domestic order or in connection with a divorce settlement; or </w:t>
      </w:r>
    </w:p>
    <w:p>
      <w:pPr>
        <w:pStyle w:val="TextBody"/>
        <w:bidi w:val="0"/>
        <w:spacing w:before="240" w:after="0"/>
        <w:jc w:val="left"/>
        <w:rPr>
          <w:rFonts w:ascii="Times New Roman" w:hAnsi="Times New Roman"/>
          <w:sz w:val="20"/>
        </w:rPr>
      </w:pPr>
      <w:r>
        <w:rPr>
          <w:rFonts w:ascii="Times New Roman" w:hAnsi="Times New Roman"/>
          <w:sz w:val="20"/>
        </w:rPr>
        <w:t xml:space="preserve">(j) the sale of shares of common stock under a trading plan pursuant to Rule 10b5-1 under the Exchange Act established prior to the execution of the relevant lock-up agreement and that has been disclosed to the underwriters, provided that any filing required by Section 16(a) of the Exchange Act that is made in connection with any such sales during the restricted period shall state that such sales have been executed pursuant to such trading plan.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transfer pursuant to (c), (d) and (i) above, the donee, transferee, or distributee must agree in writing to be bound by the lock-up restrictions. In the case of (c) and (d) above, such transfer or distribution shall not involve a disposition for value. In the case of (g) and (i) above, no filing under Section 16(a) of the Exchange Act or other public filing, report, or announcement reporting a reduction in beneficial ownership of shares of common stock or securities convertible into common stock shall be voluntarily made during the restricted period. In the case of (g) and (i) above, if the lock-up signatory is required to file a report under Section 16(a) of the Exchange Act during the restricted period, the lock-up signatory shall include a statement to the effect that such transfer is to us in connection with the repurchase of shares of common stock or other securities convertible into common stock or pursuant to a qualified domestic order or in connection with a divorce settlement,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 their sole discretion, may release the common stock and other securities subject to the lock-up agreements described above in whole or in part at any time with or without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Price Stabilization, Short Position,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The underwriters can close out a covered short sale by purchasing shares in the open market.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supplement in electronic format may be made available on websites maintained by the underwriters, or selling group members, if any, participating in this offering. The underwriters may agree to allocate a number of shares of common stock for sale to its online brokerage account holders. Internet distributions will be allocated by the underwriters on the same basis as other allocations.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from time to time, performed, and may in the future perform, various financial advisory and investment banking services for us,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common stock shall require the Company or any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each of the underwriters and us that it is a “qualified investor” within the meaning of Article 2(e) of the Prospectus Regulation or publish an Annex IX document pursuant to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this provision, the expression an “offer to the public” in relation to the shares in any Relevant State means the communication in any form and by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240" w:after="0"/>
        <w:jc w:val="left"/>
        <w:rPr>
          <w:rFonts w:ascii="Times New Roman" w:hAnsi="Times New Roman"/>
          <w:sz w:val="20"/>
        </w:rPr>
      </w:pPr>
      <w:r>
        <w:rPr>
          <w:rFonts w:ascii="Times New Roman" w:hAnsi="Times New Roman"/>
          <w:sz w:val="20"/>
        </w:rPr>
        <w:t xml:space="preserve">No shares of common stock have been offered or will be offered pursuant to the offering to the public in the United Kingdom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in paragraph 15 of Schedule 1 to the POATRs) in the United Kingdom, subject to obtaining the prior consent of the relevant Manager or Managers nominated by the Company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means the communication in any form and by any means of sufficient information on the terms of the offer and the shares to be offered so as to enable an investor to decide to buy or subscribe for the shares and the expression “POATRs” means the Public Offers and Admissions to Trading Regulations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constitute a prospectus under the Israeli Securities Law, 5728-1968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no shares have been or will be offered or sold and no shares have been or will be made the subject of an invitation for subscription or purchase, and no prospectus or any other document or material in connection with the offer or sale, or invitation for subscription or purchase, of the shares, has been or will be circulated or distributed, nor will it be circulated or distributed, whether directly or indirectly, to any person in Singapore other than (i) to an institutional investor (as defined in Section 4A of the Securities and Futures Act 2001 of Singapore, as modified or amended from time to time (SFA))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417628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prospectus supplement will be passed upon for us by Wilson Sonsini Goodrich &amp; Rosati, Professional Corporation, Palo Alto, California. Davis Polk &amp; Wardwell LLP, Redwood City, California, is acting as counsel for the underwriters. </w:t>
      </w:r>
    </w:p>
    <w:p>
      <w:pPr>
        <w:pStyle w:val="TextBody"/>
        <w:bidi w:val="0"/>
        <w:spacing w:before="480" w:after="0"/>
        <w:jc w:val="center"/>
        <w:rPr>
          <w:rFonts w:ascii="Times New Roman" w:hAnsi="Times New Roman"/>
          <w:b/>
          <w:sz w:val="20"/>
        </w:rPr>
      </w:pPr>
      <w:bookmarkStart w:id="12" w:name="supprom417628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13" w:name="supprom417628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with respect to the offer and sale of our securities. This prospectus supplement and the accompanying prospectus, which constitute part of that registration statement, do not include all of the information contained in the registration statement and the accompanying exhibits. Whenever a reference is made in this prospectus supplement or in the accompanying prospectus to any of our contracts, agreements, or other documents, the reference may not be complete, and you should refer to the exhibits to the reports or other documents incorporated by reference into this prospectus supplement or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www.alector.com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417628_12"/>
      <w:bookmarkEnd w:id="1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accompanying prospectus the information or documents listed below that we have filed with the SEC (Commission File No. 001-38792):</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Form 10-K for the year ended </w:t>
            </w:r>
            <w:hyperlink r:id="rId3">
              <w:r>
                <w:rPr>
                  <w:rStyle w:val="InternetLink"/>
                  <w:rFonts w:ascii="Times New Roman" w:hAnsi="Times New Roman"/>
                  <w:sz w:val="20"/>
                </w:rPr>
                <w:t>December  31, 2025</w:t>
              </w:r>
            </w:hyperlink>
            <w:r>
              <w:rPr>
                <w:rFonts w:ascii="Times New Roman" w:hAnsi="Times New Roman"/>
                <w:sz w:val="20"/>
              </w:rPr>
              <w:t xml:space="preserve">, filed with the SEC on February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filed with the SEC on May 7, 2026 and August 6,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May  7, 2026</w:t>
              </w:r>
            </w:hyperlink>
            <w:r>
              <w:rPr>
                <w:rFonts w:ascii="Times New Roman" w:hAnsi="Times New Roman"/>
                <w:sz w:val="20"/>
              </w:rPr>
              <w:t xml:space="preserve">, </w:t>
            </w:r>
            <w:hyperlink r:id="rId7">
              <w:r>
                <w:rPr>
                  <w:rStyle w:val="InternetLink"/>
                  <w:rFonts w:ascii="Times New Roman" w:hAnsi="Times New Roman"/>
                  <w:sz w:val="20"/>
                </w:rPr>
                <w:t>June  17, 2026</w:t>
              </w:r>
            </w:hyperlink>
            <w:r>
              <w:rPr>
                <w:rFonts w:ascii="Times New Roman" w:hAnsi="Times New Roman"/>
                <w:sz w:val="20"/>
              </w:rPr>
              <w:t xml:space="preserve">, </w:t>
            </w:r>
            <w:hyperlink r:id="rId8">
              <w:r>
                <w:rPr>
                  <w:rStyle w:val="InternetLink"/>
                  <w:rFonts w:ascii="Times New Roman" w:hAnsi="Times New Roman"/>
                  <w:sz w:val="20"/>
                </w:rPr>
                <w:t>July  8, 2026</w:t>
              </w:r>
            </w:hyperlink>
            <w:r>
              <w:rPr>
                <w:rFonts w:ascii="Times New Roman" w:hAnsi="Times New Roman"/>
                <w:sz w:val="20"/>
              </w:rPr>
              <w:t xml:space="preserve">, </w:t>
            </w:r>
            <w:hyperlink r:id="rId9">
              <w:r>
                <w:rPr>
                  <w:rStyle w:val="InternetLink"/>
                  <w:rFonts w:ascii="Times New Roman" w:hAnsi="Times New Roman"/>
                  <w:sz w:val="20"/>
                </w:rPr>
                <w:t>October  5, 2026</w:t>
              </w:r>
            </w:hyperlink>
            <w:r>
              <w:rPr>
                <w:rFonts w:ascii="Times New Roman" w:hAnsi="Times New Roman"/>
                <w:sz w:val="20"/>
              </w:rPr>
              <w:t xml:space="preserve"> and </w:t>
            </w:r>
            <w:hyperlink r:id="rId10">
              <w:r>
                <w:rPr>
                  <w:rStyle w:val="InternetLink"/>
                  <w:rFonts w:ascii="Times New Roman" w:hAnsi="Times New Roman"/>
                  <w:sz w:val="20"/>
                </w:rPr>
                <w:t>October 14, 2026</w:t>
              </w:r>
            </w:hyperlink>
            <w:r>
              <w:rPr>
                <w:rFonts w:ascii="Times New Roman" w:hAnsi="Times New Roman"/>
                <w:sz w:val="20"/>
              </w:rPr>
              <w:t xml:space="preserve"> (in each case, other than the portions thereof furnished under Item 2.02 or Item 7.01 of Form 8-K and exhibits accompanying such reports that relate to such items, except, with respect to the Current Report on Form 8-K filed on </w:t>
            </w:r>
            <w:hyperlink r:id="rId11">
              <w:r>
                <w:rPr>
                  <w:rStyle w:val="InternetLink"/>
                  <w:rFonts w:ascii="Times New Roman" w:hAnsi="Times New Roman"/>
                  <w:sz w:val="20"/>
                </w:rPr>
                <w:t>October 5, 2026</w:t>
              </w:r>
            </w:hyperlink>
            <w:r>
              <w:rPr>
                <w:rFonts w:ascii="Times New Roman" w:hAnsi="Times New Roman"/>
                <w:sz w:val="20"/>
              </w:rPr>
              <w:t xml:space="preserve">, to the extent such information is expressly incorporated by reference into Item 8.01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 our Annual Report on Form 10-K for the year ended December 31, 2025, from our </w:t>
            </w:r>
            <w:hyperlink r:id="rId12">
              <w:r>
                <w:rPr>
                  <w:rStyle w:val="InternetLink"/>
                  <w:rFonts w:ascii="Times New Roman" w:hAnsi="Times New Roman"/>
                  <w:sz w:val="20"/>
                </w:rPr>
                <w:t>definitive proxy statement</w:t>
              </w:r>
            </w:hyperlink>
            <w:r>
              <w:rPr>
                <w:rFonts w:ascii="Times New Roman" w:hAnsi="Times New Roman"/>
                <w:sz w:val="20"/>
              </w:rPr>
              <w:t xml:space="preserve"> relating to our 2026 annual meeting of stockholders, filed with the SEC on April 28,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SEC on January 31, 2019, including any amendments thereto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documents we file with the SEC pursuant to Sections 13(a), 13(c), 14 or 15(d) of the Exchange Act after the date of this prospectus supplement and prior to the termination of the offering of our common stock to which this prospectus supplement relates will automatically be deemed to be incorporated by reference into this prospectus supplement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can request a copy of these filings, at no cost, by writing or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Alector,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131 Oyster Point Blvd., Suite 600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center"/>
        <w:rPr>
          <w:rFonts w:ascii="Times New Roman" w:hAnsi="Times New Roman"/>
          <w:sz w:val="20"/>
        </w:rPr>
      </w:pPr>
      <w:r>
        <w:rPr>
          <w:rFonts w:ascii="Times New Roman" w:hAnsi="Times New Roman"/>
          <w:sz w:val="20"/>
        </w:rPr>
        <w:t xml:space="preserve">(415) 231-5660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ALECTOR,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2390775" cy="7162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390775" cy="7162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Up to $400,000,000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19"/>
        </w:rPr>
      </w:pPr>
      <w:r>
        <w:rPr>
          <w:rFonts w:ascii="Times New Roman" w:hAnsi="Times New Roman"/>
          <w:sz w:val="19"/>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 </w:t>
      </w:r>
    </w:p>
    <w:p>
      <w:pPr>
        <w:pStyle w:val="TextBody"/>
        <w:bidi w:val="0"/>
        <w:spacing w:before="240" w:after="0"/>
        <w:jc w:val="left"/>
        <w:rPr>
          <w:rFonts w:ascii="Times New Roman" w:hAnsi="Times New Roman"/>
          <w:sz w:val="19"/>
        </w:rPr>
      </w:pPr>
      <w:r>
        <w:rPr>
          <w:rFonts w:ascii="Times New Roman" w:hAnsi="Times New Roman"/>
          <w:sz w:val="19"/>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w:t>
      </w:r>
      <w:hyperlink w:anchor="tx417628_3">
        <w:r>
          <w:rPr>
            <w:rStyle w:val="InternetLink"/>
            <w:rFonts w:ascii="Times New Roman" w:hAnsi="Times New Roman"/>
            <w:b/>
            <w:sz w:val="24"/>
          </w:rPr>
          <w:t>RISK FACTORS</w:t>
        </w:r>
      </w:hyperlink>
      <w:r>
        <w:rPr>
          <w:rFonts w:ascii="Times New Roman" w:hAnsi="Times New Roman"/>
          <w:b/>
          <w:sz w:val="24"/>
        </w:rPr>
        <w:t xml:space="preserve">” BEGINNING ON PAGE 4 OF THIS PROSPECTUS AND IN ANY SIMILAR SECTION CONTAINED IN OR INCORPORATED BY REFERENCE HEREIN OR IN THE APPLICABLE PROSPECTUS SUPPLEMENT CONCERNING FACTORS YOU SHOULD CONSIDER BEFORE INVESTING IN OUR SECURITIES. </w:t>
      </w:r>
    </w:p>
    <w:p>
      <w:pPr>
        <w:pStyle w:val="TextBody"/>
        <w:bidi w:val="0"/>
        <w:spacing w:before="240" w:after="0"/>
        <w:jc w:val="left"/>
        <w:rPr>
          <w:rFonts w:ascii="Times New Roman" w:hAnsi="Times New Roman"/>
          <w:sz w:val="19"/>
        </w:rPr>
      </w:pPr>
      <w:r>
        <w:rPr>
          <w:rFonts w:ascii="Times New Roman" w:hAnsi="Times New Roman"/>
          <w:sz w:val="19"/>
        </w:rPr>
        <w:t xml:space="preserve">Our common stock is listed on The Nasdaq Global Select Market (“Nasdaq”) under the symbol “ALEC.” On March 11, 2026, the last reported sale price of our common stock on Nasdaq was $2.32 per share. </w:t>
      </w:r>
    </w:p>
    <w:p>
      <w:pPr>
        <w:pStyle w:val="TextBody"/>
        <w:bidi w:val="0"/>
        <w:spacing w:before="240" w:after="0"/>
        <w:jc w:val="left"/>
        <w:rPr>
          <w:rFonts w:ascii="Times New Roman" w:hAnsi="Times New Roman"/>
          <w:b/>
          <w:sz w:val="19"/>
        </w:rPr>
      </w:pPr>
      <w:r>
        <w:rPr>
          <w:rFonts w:ascii="Times New Roman" w:hAnsi="Times New Roman"/>
          <w:b/>
          <w:sz w:val="19"/>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9"/>
        </w:rPr>
      </w:pPr>
      <w:r>
        <w:rPr>
          <w:rFonts w:ascii="Times New Roman" w:hAnsi="Times New Roman"/>
          <w:b/>
          <w:sz w:val="19"/>
        </w:rPr>
        <w:t xml:space="preserve">The date of this prospectus is April 30,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2">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6">
              <w:r>
                <w:rPr>
                  <w:rStyle w:val="InternetLink"/>
                  <w:rFonts w:ascii="Times New Roman" w:hAnsi="Times New Roman"/>
                  <w:sz w:val="20"/>
                </w:rPr>
                <w:t>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7">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10">
              <w:r>
                <w:rPr>
                  <w:rStyle w:val="InternetLink"/>
                  <w:rFonts w:ascii="Times New Roman" w:hAnsi="Times New Roman"/>
                  <w:sz w:val="20"/>
                </w:rPr>
                <w:t>DESCRIPTION OF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417628_16">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415(a)(6), the securities being registered hereunder include $308,196,683.14 of unsold securities which remain unsold as of the date hereof (the “Unsold Securities”) previously registered by the registrant’s registration on Form S-3 (File No. 333-270126) which was initially filed with the Securities and Exchange Commission on February 28, 2023 and declared effective on May 1, 2023 (the “Prior Registration Statement”). The aggregate filing fee paid in connection with such Unsold Securities was $18,961.80.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 If,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417628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“Alector,” “we,” “our,” “us” and the “Company” in this prospectus, we mean Alector, Inc., unless the context indicates otherwise or unless otherwise specified. When we refer to “you,” we mean the holders of the applicable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417628_2"/>
      <w:bookmarkEnd w:id="16"/>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 stage biotechnology company developing therapies for neurodegenerative diseases, with a focus on areas of high unmet medical need. Our work is informed by advances in disease biology, including the roles of misfolded or deficient proteins, lysosomal dysfunction, and immune and neuronal pathway disruption. </w:t>
      </w:r>
    </w:p>
    <w:p>
      <w:pPr>
        <w:pStyle w:val="TextBody"/>
        <w:bidi w:val="0"/>
        <w:spacing w:before="240" w:after="0"/>
        <w:jc w:val="left"/>
        <w:rPr>
          <w:rFonts w:ascii="Times New Roman" w:hAnsi="Times New Roman"/>
          <w:sz w:val="20"/>
        </w:rPr>
      </w:pPr>
      <w:r>
        <w:rPr>
          <w:rFonts w:ascii="Times New Roman" w:hAnsi="Times New Roman"/>
          <w:sz w:val="20"/>
        </w:rPr>
        <w:t xml:space="preserve">Our objective is to develop product candidates that address disease through targeted mechanisms, such as removing pathogenic proteins, replacing deficient proteins, and restoring normal cellular function. We are advancing a portfolio of programs focused on genetically validated targets, supported by our expertise in drug development, protein engineering, and antibody discovery. </w:t>
      </w:r>
    </w:p>
    <w:p>
      <w:pPr>
        <w:pStyle w:val="TextBody"/>
        <w:bidi w:val="0"/>
        <w:spacing w:before="240" w:after="0"/>
        <w:jc w:val="left"/>
        <w:rPr>
          <w:rFonts w:ascii="Times New Roman" w:hAnsi="Times New Roman"/>
          <w:sz w:val="20"/>
        </w:rPr>
      </w:pPr>
      <w:r>
        <w:rPr>
          <w:rFonts w:ascii="Times New Roman" w:hAnsi="Times New Roman"/>
          <w:sz w:val="20"/>
        </w:rPr>
        <w:t xml:space="preserve">A key component of our strategy is the development and application of our Alector Brain Carrier (ABC) platform, a proprietary blood-brain barrier (BBB) delivery technology designed to improve central nervous system exposure across multiple therapeutic modalities. We continue to refine and expand this platform to enable effective brain delivery at clinically practical doses of antibodies, enzymes, and siRNA therapeutics. In parallel, we are investing in biomarkers and biomarker assays to guide patient selection, demonstrate target and pathway engagement, and assess biological impact in the clinic, with the goal of improving development efficiency and the likelihood of technical success. </w:t>
      </w:r>
    </w:p>
    <w:p>
      <w:pPr>
        <w:pStyle w:val="TextBody"/>
        <w:bidi w:val="0"/>
        <w:spacing w:before="240" w:after="0"/>
        <w:jc w:val="left"/>
        <w:rPr>
          <w:rFonts w:ascii="Times New Roman" w:hAnsi="Times New Roman"/>
          <w:sz w:val="20"/>
        </w:rPr>
      </w:pPr>
      <w:r>
        <w:rPr>
          <w:rFonts w:ascii="Times New Roman" w:hAnsi="Times New Roman"/>
          <w:sz w:val="20"/>
        </w:rPr>
        <w:t xml:space="preserve">Our portfolio includes nivisnebart (formerly AL101/GSK4527226), an investigational progranulin (PGRN)-elevating antibody that has completed enrollment in a placebo-controlled, double-blinded Phase 2 study in early Alzheimer’s disease under our 2021 collaboration with GlaxoSmithKline (GSK).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wholly owned programs include lead candidates in preclinical development for a brain-penetrant anti-amyloid beta antibody for Alzheimer’s disease (AD) and a brain-penetrant GCase enzyme replacement therapy for Parkinson’s disease (PD) and Lewy body dementia (LBD). We are also advancing brain-penetrant siRNA programs targeting tau for Alzheimer’s disease, α-synuclein for Parkinson’s disease, and NLRP3, with potential applications across multiple neurodegenerative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417628_3"/>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417628_4"/>
      <w:bookmarkEnd w:id="18"/>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development and manufacturing of our product candidates and research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for advancing research and pre-clinical stage programs into clinical development and our ability to execute on those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collaborations with third parties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in the United States and the European Union who suffer from the diseases we are targeting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focus of our future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our sales and marketing strategy and the regions and countries selected for commercialization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in each of the diseases we are targeting;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our product candidates into additional indications and patient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including our expectation to seek special designations, such as orphan drug designation, for our product candidates for various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and potential future government actions, legislation, regulations, regulatory developments, and regulatory agencies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anticipate our personnel needs and to attract and retain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additional financing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including potential volatility in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worldwide economic conditions, including macroeconomic conditions, inflation, supply chain disruptions, trade tariffs, and economic impacts of pandemics or other public health outbreaks and geopolitical events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inflation;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cash equivalents, and marketable securities to fund our future operating expenses and capital expenditure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417628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We will retain broad discretion over the use of the net proceeds to us from the sale of our securities under this prospectus. Pending these uses, we may invest the net proceeds of this offering in short and intermediate-term investment grade instruments, certificates of deposit or guaranteed obligations of the U.S. government in accordance with our investment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417628_6"/>
      <w:bookmarkEnd w:id="20"/>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from time to time, in one or more offerings,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par value $0.0001 per share,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preferred stock, par value $0.0001 per share,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which may be senior or subordinated, and which may be convertible into our common stock or be non-convertible;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shares of our common stock or preferred stock or other securities from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representing two or more of the foregoing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and/or free writing prospectus a description of any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417628_7"/>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were filed with the SEC and referenced in the exhibits to our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200,000,000 shares of common stock, par value $0.0001 per share, and 20,000,000 shares of convertible preferred stock, par value $0.0001 per share. All of our outstanding shares of common stock are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“ALEC.” The transfer agent and registrar for our common stock is Equiniti Trust Company, LLC. The transfer agent and registrar’s address is 28 Liberty Street, Floor 53, New York, NY 10005.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convertible preferred stock, holders of our common stock are entitled to receive dividends, if any, as may be declared from time to time by our board of directors out of legally available funds. In addition, the payment of dividends on our common stock may be restricted by the provisions of our existing debt agreements or other financing documents that we may enter into or the terms of securities that we may issue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the stockholders, to issue up to 20,000,000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Certain Provisions of Delaware Law, Our Amended and Restated Certificate of Incorporation and Our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designated Class I, Class II, and Class III. Each class is an equal number of directors, as nearly as possible, consisting of one-third of the total number of directors constituting the entire board of directors. The term of initial Class I directors terminated on the date of the 2022 annual meeting, the term of the initial Class II directors terminated on the date of the 2020 annual meeting, and the term of the initial Class III directors terminated on the date of the 2021 annual meeting. At each annual meeting of stockholders, successors to the class of directors whose term expires at that annual meeting will be elected for a three-year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may only remove a director for cause by a vote of no less than a majority of the shares present in person or by proxy at the meeting and entitled to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only our board of directors to fill vacant directorships.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do not have the right to cumulate votes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provides that, except as otherwise required by law, special meetings of the stockholders may be called only by the Chairperson of our board of directors, the Chief Executive Officer, the President, or our board of directors acting pursuant to a resolution adopted by a majority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Procedures for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any action to be taken by the stockholders must be effected at a duly called annual or special meeting of stockholders and may not be effected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Amending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certain provisions set forth in the bylaws, which would require the approval of a two-thirds majority of our then outstanding common stock. Additionally, our amended and restated certificate of incorporation provides that our bylaws may be amended, altered, or repealed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are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to the selection of an alternative forum, the Court of Chancery of the State of Delaware, or if the Court of Chancery does not have jurisdiction, another state court in Delaware or the federal district court for the District of Delaware, is the exclusive forum for (i) any derivative action or proceeding brought on behalf of us, (ii) any action asserting a claim of breach of a fiduciary duty owed by any director, officer, or other employee to the us or our stockholders, (iii) any action arising pursuant to any provision of the DGCL or our certificate of incorporation or bylaws (as either may be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time to time), or (iv) any action asserting a claim governed by the internal affairs doctrine, except, in each case, (A) any claim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Additionally, unless we consent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our securities, including, without limitation and for the avoidance of doubt, any auditor, underwriter, expert, control person or other defendant. Although our amended and restated bylaws contain the exclusive of forum provisions described above, it is possible that a court could find that such provision is inapplicable for a particular claim or action or that such provision is unenforceable, and our stockholders will not be deemed to have waived our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with Interested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417628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Defeasance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this as covenant defeasance. 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applicable series of debt securities shall have occurred or is continuing on the date of such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417628_9"/>
      <w:bookmarkEnd w:id="2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common stock or preferred stock. We may offer warrants separately or together with one or more additional warrants, common stock, preferred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common stock or preferred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common stock, or preferred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417628_10"/>
      <w:bookmarkEnd w:id="24"/>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is a part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purchase contracts, certain terms of that series of purchase contracts will be described in the applicable prospectus supplement,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securities or other property subject to the purchase contracts (which may be determined by reference to a specific formula described in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 for us to make periodic payments to holders or vice versa, and whether the payments are unsecured or pre-funded;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settled by delivery, or by reference or linkage to the value, performance or level of the securities subject to purchase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will be issued in fully registered or global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purchase contracts and any securities subject to such purchase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417628_11"/>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comprising two or more securities described in this prospectus in any combination. For example, we might issue units consisting of a combination of common stock and warrants to purchase preferred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included in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417628_12"/>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that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417628_13"/>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Wilson Sonsini Goodrich &amp; Rosati, Professional Corporation, Palo Alto, California, will pass upon certain legal matters relating to the issuance and sale of the securities offered hereby on behalf of Alector, Inc.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8" w:name="tx417628_14"/>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29" w:name="tx417628_15"/>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www.alector.com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417628_16"/>
      <w:bookmarkEnd w:id="3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25,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16">
              <w:r>
                <w:rPr>
                  <w:rStyle w:val="InternetLink"/>
                  <w:rFonts w:ascii="Times New Roman" w:hAnsi="Times New Roman"/>
                  <w:sz w:val="20"/>
                </w:rPr>
                <w:t>Form 8-A</w:t>
              </w:r>
            </w:hyperlink>
            <w:r>
              <w:rPr>
                <w:rFonts w:ascii="Times New Roman" w:hAnsi="Times New Roman"/>
                <w:sz w:val="20"/>
              </w:rPr>
              <w:t xml:space="preserve">, filed with the SEC on January 31, 2019, including any amendments thereto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documents we file with the SEC pursuant to Section 13(a), 13(c), 14 or 15(d) of the Exchange Act after the date of the initial registration statement of which this prospectus forms a part and prior to the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can request a copy of these filings, at no cost, by writing or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Alector,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131 Oyster Point Blvd., Suite 600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center"/>
        <w:rPr>
          <w:rFonts w:ascii="Times New Roman" w:hAnsi="Times New Roman"/>
          <w:sz w:val="20"/>
        </w:rPr>
      </w:pPr>
      <w:r>
        <w:rPr>
          <w:rFonts w:ascii="Times New Roman" w:hAnsi="Times New Roman"/>
          <w:sz w:val="20"/>
        </w:rPr>
        <w:t xml:space="preserve">(415) 231-5660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accessible through any website referred to in this prospectus or any document incorporated herein is not, and should not be deemed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0" w:after="0"/>
        <w:jc w:val="center"/>
        <w:rPr>
          <w:rFonts w:ascii="Times New Roman" w:hAnsi="Times New Roman"/>
          <w:b/>
          <w:sz w:val="48"/>
        </w:rPr>
      </w:pPr>
      <w:r>
        <w:rPr>
          <w:rFonts w:ascii="Times New Roman" w:hAnsi="Times New Roman"/>
          <w:b/>
          <w:sz w:val="48"/>
        </w:rPr>
        <w:t xml:space="preserve">ALECTOR,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3202940" cy="8934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3202940" cy="89344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36,600,000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Morgan Stanley</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BTIG</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October 16,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53087/000119312526071593/alec-20251231.htm" TargetMode="External"/><Relationship Id="rId4" Type="http://schemas.openxmlformats.org/officeDocument/2006/relationships/hyperlink" Target="http://www.sec.gov/Archives/edgar/data/../../../ix?doc=/Archives/edgar/data/0001653087/000119312526211981/alec-20260331.htm" TargetMode="External"/><Relationship Id="rId5" Type="http://schemas.openxmlformats.org/officeDocument/2006/relationships/hyperlink" Target="http://www.sec.gov/Archives/edgar/data/../../../ix?doc=/Archives/edgar/data/1653087/000119312526338052/alec-20260630.htm" TargetMode="External"/><Relationship Id="rId6" Type="http://schemas.openxmlformats.org/officeDocument/2006/relationships/hyperlink" Target="http://www.sec.gov/Archives/edgar/data/../../../ix?doc=/Archives/edgar/data/1653087/000119312526212426/d910893d8k.htm" TargetMode="External"/><Relationship Id="rId7" Type="http://schemas.openxmlformats.org/officeDocument/2006/relationships/hyperlink" Target="http://www.sec.gov/Archives/edgar/data/../../../ix?doc=/Archives/edgar/data/1653087/000119312526274130/alec-20260617.htm" TargetMode="External"/><Relationship Id="rId8" Type="http://schemas.openxmlformats.org/officeDocument/2006/relationships/hyperlink" Target="http://www.sec.gov/Archives/edgar/data/../../../ix?doc=/Archives/edgar/data/1653087/000119312526298526/alec-20260706.htm" TargetMode="External"/><Relationship Id="rId9" Type="http://schemas.openxmlformats.org/officeDocument/2006/relationships/hyperlink" Target="http://www.sec.gov/Archives/edgar/data/../../../ix?doc=/Archives/edgar/data/1653087/000119312526413090/alec-20260930.htm" TargetMode="External"/><Relationship Id="rId10" Type="http://schemas.openxmlformats.org/officeDocument/2006/relationships/hyperlink" Target="http://www.sec.gov/Archives/edgar/data/../../../ix?doc=/Archives/edgar/data/1653087/000119312526421080/alec-20261013.htm" TargetMode="External"/><Relationship Id="rId11" Type="http://schemas.openxmlformats.org/officeDocument/2006/relationships/hyperlink" Target="http://www.sec.gov/Archives/edgar/data/../../../ix?doc=/Archives/edgar/data/1653087/000119312526413090/alec-20260930.htm" TargetMode="External"/><Relationship Id="rId12" Type="http://schemas.openxmlformats.org/officeDocument/2006/relationships/hyperlink" Target="http://www.sec.gov/Archives/edgar/data/../../../ix?doc=/Archives/edgar/data/1653087/000119312526186928/alec-20260421.htm" TargetMode="External"/><Relationship Id="rId13" Type="http://schemas.openxmlformats.org/officeDocument/2006/relationships/hyperlink" Target="http://www.sec.gov/Archives/edgar/data/1653087/000119312519024072/d708505d8a12b.htm"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1653087/000119312526071593/alec-20251231.htm" TargetMode="External"/><Relationship Id="rId16" Type="http://schemas.openxmlformats.org/officeDocument/2006/relationships/hyperlink" Target="http://www.sec.gov/Archives/edgar/data/1653087/000119312519024072/d708505d8a12b.htm" TargetMode="External"/><Relationship Id="rId17" Type="http://schemas.openxmlformats.org/officeDocument/2006/relationships/image" Target="media/image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27448</Words>
  <Characters>145090</Characters>
  <CharactersWithSpaces>173119</CharactersWithSpaces>
  <Paragraphs>1924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