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Rosenthal Arnon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ALECTOR,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131 OYSTER POINT BLVD., SUITE 600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SOUTH SAN FRANCISCO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94080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Alector, Inc.</w:t>
              </w:r>
            </w:hyperlink>
            <w:r>
              <w:rPr/>
              <w:t xml:space="preserve"> [ </w:t>
            </w:r>
            <w:r>
              <w:rPr>
                <w:rFonts w:ascii="Times;serif" w:hAnsi="Times;serif"/>
                <w:color w:val="0000FF"/>
                <w:sz w:val="24"/>
                <w:shd w:fill="FFFFFF" w:val="clear"/>
              </w:rPr>
              <w:t>ALEC</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Executive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10/13/2026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24"/>
        <w:gridCol w:w="903"/>
        <w:gridCol w:w="774"/>
        <w:gridCol w:w="600"/>
        <w:gridCol w:w="343"/>
        <w:gridCol w:w="1051"/>
        <w:gridCol w:w="439"/>
        <w:gridCol w:w="602"/>
        <w:gridCol w:w="1261"/>
        <w:gridCol w:w="980"/>
        <w:gridCol w:w="102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2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9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2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2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0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2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2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10/14/2026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217,500</w:t>
            </w:r>
            <w:r>
              <w:rPr>
                <w:rFonts w:ascii="Times;serif" w:hAnsi="Times;serif"/>
                <w:color w:val="008000"/>
                <w:position w:val="7"/>
                <w:sz w:val="16"/>
                <w:sz w:val="20"/>
                <w:shd w:fill="FFFFFF" w:val="clear"/>
              </w:rPr>
              <w:t>(1)</w:t>
            </w:r>
          </w:p>
        </w:tc>
        <w:tc>
          <w:tcPr>
            <w:tcW w:w="4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2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2,512,100</w:t>
            </w:r>
          </w:p>
        </w:tc>
        <w:tc>
          <w:tcPr>
            <w:tcW w:w="98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2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2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5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922,875</w:t>
            </w:r>
          </w:p>
        </w:tc>
        <w:tc>
          <w:tcPr>
            <w:tcW w:w="98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2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(2)</w:t>
            </w:r>
          </w:p>
        </w:tc>
      </w:tr>
      <w:tr>
        <w:trPr/>
        <w:tc>
          <w:tcPr>
            <w:tcW w:w="222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5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1,002,500</w:t>
            </w:r>
          </w:p>
        </w:tc>
        <w:tc>
          <w:tcPr>
            <w:tcW w:w="98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2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(3)</w:t>
            </w:r>
          </w:p>
        </w:tc>
      </w:tr>
      <w:tr>
        <w:trPr/>
        <w:tc>
          <w:tcPr>
            <w:tcW w:w="222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5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1,002,500</w:t>
            </w:r>
          </w:p>
        </w:tc>
        <w:tc>
          <w:tcPr>
            <w:tcW w:w="98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2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(4)</w:t>
            </w:r>
          </w:p>
        </w:tc>
      </w:tr>
      <w:tr>
        <w:trPr/>
        <w:tc>
          <w:tcPr>
            <w:tcW w:w="222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5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1,002,500</w:t>
            </w:r>
          </w:p>
        </w:tc>
        <w:tc>
          <w:tcPr>
            <w:tcW w:w="98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2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(5)</w:t>
            </w:r>
          </w:p>
        </w:tc>
      </w:tr>
    </w:tbl>
    <w:tbl>
      <w:tblPr>
        <w:tblW w:w="1295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816"/>
        <w:gridCol w:w="816"/>
        <w:gridCol w:w="906"/>
        <w:gridCol w:w="801"/>
        <w:gridCol w:w="891"/>
        <w:gridCol w:w="921"/>
        <w:gridCol w:w="801"/>
        <w:gridCol w:w="936"/>
        <w:gridCol w:w="831"/>
        <w:gridCol w:w="846"/>
      </w:tblGrid>
      <w:tr>
        <w:trPr>
          <w:tblHeader w:val="true"/>
        </w:trPr>
        <w:tc>
          <w:tcPr>
            <w:tcW w:w="1295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63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8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1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81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Employee Stock Option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8.16</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10/13/2026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500,000</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07/01/2028</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500,000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(7)(8)</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Employee Stock Option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1.87</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10/13/2026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500,000</w:t>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07/01/2028</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500,000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(7)(8)</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500,000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Employee Stock Option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10.14</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10/13/2026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275,000</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11/05/2028</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275,000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(7)(8)</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Employee Stock Option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1.87</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10/13/2026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275,000</w:t>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11/05/2028</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275,000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(7)(8)</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275,000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Employee Stock Option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17.15</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10/13/2026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520,000</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11/05/2029</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520,000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(7)(8)</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Employee Stock Option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1.87</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10/13/2026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520,000</w:t>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11/05/2029</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520,000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(7)(8)</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520,000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Employee Stock Option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10.24</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10/13/2026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457,038</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09/30/2030</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457,038</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(7)(8)</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Employee Stock Option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1.87</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10/13/2026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457,038</w:t>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09/30/2030</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457,038</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(7)(8)</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457,038</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Employee Stock Option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23.7</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10/13/2026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417,213</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09/30/2031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417,213</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(7)(8)</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Employee Stock Option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1.87</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10/13/2026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417,213</w:t>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09/30/2031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417,213</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(7)(8)</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417,213</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Employee Stock Option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9.46</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10/13/2026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119,446</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09/30/2032</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119,446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(7)(8)</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Employee Stock Option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1.87</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10/13/2026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119,446</w:t>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09/30/2032</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119,446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(7)(8)</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119,446</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Employee Stock Option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6.48</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10/13/2026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132,500</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(9)</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09/30/2033</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132,500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(7)(8)</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Employee Stock Option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1.87</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10/13/2026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132,500</w:t>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(9)</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09/30/2033</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132,500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(7)(8)</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132,500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Employee 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1.88</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10/14/2026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978,750</w:t>
            </w:r>
          </w:p>
        </w:tc>
        <w:tc>
          <w:tcPr>
            <w:tcW w:w="81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10/13/2036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978,750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978,750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reported shares are represented by restricted stock units, or RSUs, which vest in 12 equal quarterly installments beginning on December 1,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reported securities are held directly by The Rosenthal Family Revocable Trust Dated November 4, 1994, as restated on June 9, 1999, for which the Reporting Person serves as trustee.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reported securities are held directly by the Adi Rosenthal 2007 Trust dated March 27, 2007, for which the Reporting Person serves as trustee.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reported securities are held directly by the Noam Rosenthal 2007 Trust dated March 27, 2007, for which the Reporting Person serves as trustee.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reported securities are held directly by the Shani Rosenthal 2007 Trust dated March 27, 2007, for which the Reporting Person serves as trustee.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The shares subject to the option are fully vested and immediately exercisable.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The transactions reported herein reflect a one-time stock option repricing (the "Option Repricing") effective on October 13, 2026 (the "Effective Date"). The Option Repricing applies to stock options with exercise prices greater than $1.87 per share held by all continuing employees of the Issuer as of the Effective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Pursuant to the Option Repricing, the exercise price of the repriced options, including the reported option, has been amended to reduce the exercise price to $1.87 per share, the closing price of the Issuer's common stock on the Effective Date. However, if an employee exercises a repriced Eligible Option before the end of a "Retention Period" that begins on the Effective Date of the Option Repricing and ends on the earliest to occur of the following: (i) one year following the Effective Date; (ii) a Change in Control, as defined in the Issuer's 2019 Equity Incentive Plan, as amended (the "2019 Plan"); and (iii) the optionholder's death or Disability (as defined in the 2019 Plan), then the employee will be required to pay a premium exercise price that is equal to the original exercise price per share of such option. There was no change to the vesting schedules, expiration dates or number of shares underlying the repriced options.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9. Shares subject to the option vest in 48 equal monthly installments beginning on November 1, 2023.</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10. Shares subject to the option vest in 48 equal monthly installments beginning on November 13, 2026.</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Grace Wong-Sarad, by power of attorney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10/15/2026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57770" TargetMode="External"/><Relationship Id="rId5" Type="http://schemas.openxmlformats.org/officeDocument/2006/relationships/hyperlink" Target="http://www.sec.gov/cgi-bin/browse-edgar?action=getcompany&amp;CIK=000165308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1251</Words>
  <Characters>6649</Characters>
  <CharactersWithSpaces>7627</CharactersWithSpaces>
  <Paragraphs>302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