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Wong-Sarad Grace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ALECTOR,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 OYSTER POINT BLVD,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Alector, Inc.</w:t>
              </w:r>
            </w:hyperlink>
            <w:r>
              <w:rPr/>
              <w:t xml:space="preserve"> [ </w:t>
            </w:r>
            <w:r>
              <w:rPr>
                <w:rFonts w:ascii="Times;serif" w:hAnsi="Times;serif"/>
                <w:color w:val="0000FF"/>
                <w:sz w:val="24"/>
                <w:shd w:fill="FFFFFF" w:val="clear"/>
              </w:rPr>
              <w:t>ALEC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55,555</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161,570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13,842</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20,454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20,454</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10,228</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11,552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11,552</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11,309</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83,435</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83,435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in 12 equal quarterly installments beginning on December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are fully vested and immediately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transactions reported herein reflect a one-time stock option repricing (the "Option Repricing") effective on October 13, 2026 (the "Effective Date"). The Option Repricing applies to stock options with exercise prices greater than $1.87 per share held by all continuing employees of the Issuer as of the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Option Repricing, the exercise price of the repriced options, including the reported option, has been amended to reduce the exercise price to $1.87 per share, the closing price of the Issuer's common stock on the Effective Date. However, if an employee exercises a repriced Eligible Option before the end of a "Retention Period" that begins on the Effective Date of the Option Repricing and ends on the earliest to occur of the following: (i) one year following the Effective Date; (ii) a Change in Control, as defined in the Issuer's 2019 Equity Incentive Plan, as amended (the "2019 Plan"); and (iii) the optionholder's death or Disability (as defined in the 2019 Plan), then the employee will be required to pay a premium exercise price that is equal to the original exercise price per share of such option. There was no change to the vesting schedules, expiration dates or number of shares underlying the repriced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subject to the option vest in 48 equal monthly installments beginning on November 13,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Grace Wong-Sarad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4667" TargetMode="External"/><Relationship Id="rId5" Type="http://schemas.openxmlformats.org/officeDocument/2006/relationships/hyperlink" Target="http://www.sec.gov/cgi-bin/browse-edgar?action=getcompany&amp;CIK=0001653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1064</Words>
  <Characters>5653</Characters>
  <CharactersWithSpaces>6489</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