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Alector,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10/16/2026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Deep Track Capital,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12,772,152.00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12,772,152.00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12,772,152.00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1"/>
        <w:gridCol w:w="7914"/>
      </w:tblGrid>
      <w:tr>
        <w:trPr/>
        <w:tc>
          <w:tcPr>
            <w:tcW w:w="2291" w:type="dxa"/>
            <w:tcBorders/>
            <w:vAlign w:val="center"/>
          </w:tcPr>
          <w:p>
            <w:pPr>
              <w:pStyle w:val="TableContents"/>
              <w:bidi w:val="0"/>
              <w:spacing w:before="0" w:after="283"/>
              <w:jc w:val="left"/>
              <w:rPr/>
            </w:pPr>
            <w:r>
              <w:rPr/>
              <w:t>1</w:t>
            </w:r>
          </w:p>
        </w:tc>
        <w:tc>
          <w:tcPr>
            <w:tcW w:w="79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Deep Track Biotechnology Master Fund, Ltd.</w:t>
            </w:r>
          </w:p>
        </w:tc>
      </w:tr>
      <w:tr>
        <w:trPr/>
        <w:tc>
          <w:tcPr>
            <w:tcW w:w="2291" w:type="dxa"/>
            <w:tcBorders/>
            <w:vAlign w:val="center"/>
          </w:tcPr>
          <w:p>
            <w:pPr>
              <w:pStyle w:val="TableContents"/>
              <w:bidi w:val="0"/>
              <w:spacing w:before="0" w:after="283"/>
              <w:jc w:val="left"/>
              <w:rPr/>
            </w:pPr>
            <w:r>
              <w:rPr/>
              <w:t>2</w:t>
            </w:r>
          </w:p>
        </w:tc>
        <w:tc>
          <w:tcPr>
            <w:tcW w:w="79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1" w:type="dxa"/>
            <w:tcBorders/>
            <w:vAlign w:val="center"/>
          </w:tcPr>
          <w:p>
            <w:pPr>
              <w:pStyle w:val="TableContents"/>
              <w:bidi w:val="0"/>
              <w:spacing w:before="0" w:after="283"/>
              <w:jc w:val="left"/>
              <w:rPr/>
            </w:pPr>
            <w:r>
              <w:rPr/>
              <w:t>3</w:t>
            </w:r>
          </w:p>
        </w:tc>
        <w:tc>
          <w:tcPr>
            <w:tcW w:w="7914" w:type="dxa"/>
            <w:tcBorders/>
            <w:vAlign w:val="center"/>
          </w:tcPr>
          <w:p>
            <w:pPr>
              <w:pStyle w:val="TableContents"/>
              <w:bidi w:val="0"/>
              <w:spacing w:before="0" w:after="283"/>
              <w:jc w:val="left"/>
              <w:rPr/>
            </w:pPr>
            <w:r>
              <w:rPr/>
              <w:t>Sec Use Only</w:t>
            </w:r>
          </w:p>
        </w:tc>
      </w:tr>
      <w:tr>
        <w:trPr/>
        <w:tc>
          <w:tcPr>
            <w:tcW w:w="2291" w:type="dxa"/>
            <w:tcBorders/>
            <w:vAlign w:val="center"/>
          </w:tcPr>
          <w:p>
            <w:pPr>
              <w:pStyle w:val="TableContents"/>
              <w:bidi w:val="0"/>
              <w:spacing w:before="0" w:after="283"/>
              <w:jc w:val="left"/>
              <w:rPr/>
            </w:pPr>
            <w:r>
              <w:rPr/>
              <w:t>4</w:t>
            </w:r>
          </w:p>
        </w:tc>
        <w:tc>
          <w:tcPr>
            <w:tcW w:w="79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12,772,152.00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12,772,152.00</w:t>
                  </w:r>
                </w:p>
              </w:tc>
            </w:tr>
          </w:tbl>
          <w:p>
            <w:pPr>
              <w:pStyle w:val="TableContents"/>
              <w:bidi w:val="0"/>
              <w:spacing w:before="0" w:after="283"/>
              <w:jc w:val="left"/>
              <w:rPr/>
            </w:pPr>
            <w:r>
              <w:rPr/>
            </w:r>
          </w:p>
        </w:tc>
        <w:tc>
          <w:tcPr>
            <w:tcW w:w="7914" w:type="dxa"/>
            <w:tcBorders/>
            <w:vAlign w:val="center"/>
          </w:tcPr>
          <w:p>
            <w:pPr>
              <w:pStyle w:val="TableContents"/>
              <w:bidi w:val="0"/>
              <w:spacing w:before="0" w:after="283"/>
              <w:jc w:val="left"/>
              <w:rPr>
                <w:sz w:val="4"/>
                <w:szCs w:val="4"/>
              </w:rPr>
            </w:pPr>
            <w:r>
              <w:rPr>
                <w:sz w:val="4"/>
                <w:szCs w:val="4"/>
              </w:rPr>
            </w:r>
          </w:p>
        </w:tc>
      </w:tr>
      <w:tr>
        <w:trPr/>
        <w:tc>
          <w:tcPr>
            <w:tcW w:w="2291" w:type="dxa"/>
            <w:tcBorders/>
            <w:vAlign w:val="center"/>
          </w:tcPr>
          <w:p>
            <w:pPr>
              <w:pStyle w:val="TableContents"/>
              <w:bidi w:val="0"/>
              <w:spacing w:before="0" w:after="283"/>
              <w:jc w:val="left"/>
              <w:rPr/>
            </w:pPr>
            <w:r>
              <w:rPr/>
              <w:t>9</w:t>
            </w:r>
          </w:p>
        </w:tc>
        <w:tc>
          <w:tcPr>
            <w:tcW w:w="79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12,772,152.00</w:t>
            </w:r>
          </w:p>
        </w:tc>
      </w:tr>
      <w:tr>
        <w:trPr/>
        <w:tc>
          <w:tcPr>
            <w:tcW w:w="2291" w:type="dxa"/>
            <w:tcBorders/>
            <w:vAlign w:val="center"/>
          </w:tcPr>
          <w:p>
            <w:pPr>
              <w:pStyle w:val="TableContents"/>
              <w:bidi w:val="0"/>
              <w:spacing w:before="0" w:after="283"/>
              <w:jc w:val="left"/>
              <w:rPr/>
            </w:pPr>
            <w:r>
              <w:rPr/>
              <w:t>10</w:t>
            </w:r>
          </w:p>
        </w:tc>
        <w:tc>
          <w:tcPr>
            <w:tcW w:w="79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1" w:type="dxa"/>
            <w:tcBorders/>
            <w:vAlign w:val="center"/>
          </w:tcPr>
          <w:p>
            <w:pPr>
              <w:pStyle w:val="TableContents"/>
              <w:bidi w:val="0"/>
              <w:spacing w:before="0" w:after="283"/>
              <w:jc w:val="left"/>
              <w:rPr/>
            </w:pPr>
            <w:r>
              <w:rPr/>
              <w:t>11</w:t>
            </w:r>
          </w:p>
        </w:tc>
        <w:tc>
          <w:tcPr>
            <w:tcW w:w="79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8.61 % </w:t>
            </w:r>
          </w:p>
        </w:tc>
      </w:tr>
      <w:tr>
        <w:trPr/>
        <w:tc>
          <w:tcPr>
            <w:tcW w:w="2291" w:type="dxa"/>
            <w:tcBorders/>
            <w:vAlign w:val="center"/>
          </w:tcPr>
          <w:p>
            <w:pPr>
              <w:pStyle w:val="TableContents"/>
              <w:bidi w:val="0"/>
              <w:spacing w:before="0" w:after="283"/>
              <w:jc w:val="left"/>
              <w:rPr/>
            </w:pPr>
            <w:r>
              <w:rPr/>
              <w:t>12</w:t>
            </w:r>
          </w:p>
        </w:tc>
        <w:tc>
          <w:tcPr>
            <w:tcW w:w="79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Kroin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12,772,152.00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12,772,152.00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12,772,152.00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Alector,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131 Oyster Point Blvd., Suite 600,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Deep Track Capital, LP (ii) Deep Track Biotechnology Master Fund, Ltd. (iii) David Kroin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200 Greenwich Ave, 3rd Floor, Greenwich, CT 06830 (ii) c/o Walkers Corporate Limited, 190 Elgin Ave, George Town, KY1-9001, Cayman Islands (iii) c/o Deep Track Capital, LP, 200 Greenwich Ave, 3rd Floor, Greenwich, CT 06830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(i) Delaware (ii) Cayman Islands (iii) United States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12,772,152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8.61%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12,772,152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12,772,152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Deep Track Capital, LP is the relevant entity for which David Kroin may be considered a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Deep Track Capital, LP</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David Kroin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David Kroin, Managing Member of the General Partner of the Investment Adviser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10/23/2026</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tbl>
      <w:tblPr>
        <w:tblW w:w="9354" w:type="dxa"/>
        <w:jc w:val="left"/>
        <w:tblInd w:w="0" w:type="dxa"/>
        <w:tblLayout w:type="fixed"/>
        <w:tblCellMar>
          <w:top w:w="28" w:type="dxa"/>
          <w:left w:w="28" w:type="dxa"/>
          <w:bottom w:w="28" w:type="dxa"/>
          <w:right w:w="28" w:type="dxa"/>
        </w:tblCellMar>
      </w:tblPr>
      <w:tblGrid>
        <w:gridCol w:w="4677"/>
        <w:gridCol w:w="4677"/>
      </w:tblGrid>
      <w:tr>
        <w:trPr/>
        <w:tc>
          <w:tcPr>
            <w:tcW w:w="4677" w:type="dxa"/>
            <w:tcBorders/>
            <w:vAlign w:val="center"/>
          </w:tcPr>
          <w:p>
            <w:pPr>
              <w:pStyle w:val="TableContents"/>
              <w:bidi w:val="0"/>
              <w:spacing w:before="0" w:after="0"/>
              <w:jc w:val="left"/>
              <w:rPr/>
            </w:pPr>
            <w:r>
              <w:rPr/>
              <w:t> </w:t>
            </w:r>
          </w:p>
          <w:tbl>
            <w:tblPr>
              <w:tblW w:w="4516" w:type="dxa"/>
              <w:jc w:val="left"/>
              <w:tblInd w:w="0" w:type="dxa"/>
              <w:tblLayout w:type="fixed"/>
              <w:tblCellMar>
                <w:top w:w="28" w:type="dxa"/>
                <w:left w:w="28" w:type="dxa"/>
                <w:bottom w:w="28" w:type="dxa"/>
                <w:right w:w="28" w:type="dxa"/>
              </w:tblCellMar>
            </w:tblPr>
            <w:tblGrid>
              <w:gridCol w:w="4516"/>
            </w:tblGrid>
            <w:tr>
              <w:trPr/>
              <w:tc>
                <w:tcPr>
                  <w:tcW w:w="4516" w:type="dxa"/>
                  <w:tcBorders/>
                  <w:vAlign w:val="center"/>
                </w:tcPr>
                <w:p>
                  <w:pPr>
                    <w:pStyle w:val="TableContents"/>
                    <w:bidi w:val="0"/>
                    <w:spacing w:before="0" w:after="0"/>
                    <w:jc w:val="left"/>
                    <w:rPr/>
                  </w:pPr>
                  <w:r>
                    <w:rPr/>
                    <w:t>Deep Track Biotechnology Master Fund, Ltd.</w:t>
                  </w:r>
                </w:p>
              </w:tc>
            </w:tr>
          </w:tbl>
          <w:p>
            <w:pPr>
              <w:pStyle w:val="TableContents"/>
              <w:bidi w:val="0"/>
              <w:spacing w:before="0" w:after="283"/>
              <w:jc w:val="left"/>
              <w:rPr/>
            </w:pPr>
            <w:r>
              <w:rPr/>
            </w:r>
          </w:p>
        </w:tc>
        <w:tc>
          <w:tcPr>
            <w:tcW w:w="46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5"/>
        <w:gridCol w:w="4470"/>
      </w:tblGrid>
      <w:tr>
        <w:trPr/>
        <w:tc>
          <w:tcPr>
            <w:tcW w:w="57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David Kroin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David Kroin,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10/23/2026</w:t>
                  </w:r>
                </w:p>
              </w:tc>
            </w:tr>
          </w:tbl>
          <w:p>
            <w:pPr>
              <w:pStyle w:val="TableContents"/>
              <w:bidi w:val="0"/>
              <w:spacing w:before="0" w:after="283"/>
              <w:jc w:val="left"/>
              <w:rPr/>
            </w:pPr>
            <w:r>
              <w:rPr/>
            </w:r>
          </w:p>
        </w:tc>
        <w:tc>
          <w:tcPr>
            <w:tcW w:w="4470"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David Kroin</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4"/>
        <w:gridCol w:w="4481"/>
      </w:tblGrid>
      <w:tr>
        <w:trPr/>
        <w:tc>
          <w:tcPr>
            <w:tcW w:w="57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David Kroin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David Kroin</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10/23/2026</w:t>
                  </w:r>
                </w:p>
              </w:tc>
            </w:tr>
          </w:tbl>
          <w:p>
            <w:pPr>
              <w:pStyle w:val="TableContents"/>
              <w:bidi w:val="0"/>
              <w:spacing w:before="0" w:after="283"/>
              <w:jc w:val="left"/>
              <w:rPr/>
            </w:pPr>
            <w:r>
              <w:rPr/>
            </w:r>
          </w:p>
        </w:tc>
        <w:tc>
          <w:tcPr>
            <w:tcW w:w="44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Item 4: Information with respect to the Reporting Persons' ownership of the Common Stock as of October 23, 2026, is incorporated by reference to items (5) - (9) and (11) of the cover page of the respective Reporting Person. The amount beneficially owned by each Reporting Person is determined using 148,256,805 shares outstanding as of October 16, 2026, as reported by the issuer on its Prospectus filed with the SEC on October 16, 2026.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October 23, 2026 Deep Track Capital, LP By: /s/ David Kroin David Kroin, Managing Member of the General Partner of the Investment Adviser Deep Track Biotechnology Master Fund, Ltd. By: /s/ David Kroin David Kroin, Director David Kroin By: /s/ David Kroin David Kroin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1340</Words>
  <Characters>6953</Characters>
  <CharactersWithSpaces>8242</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