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7912d8k.htm"/>
      <w:bookmarkStart w:id="1" w:name="ksd41791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Alector,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001-38792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82-2933343</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131 Oyster Point Blvd.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600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231-5660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5430" w:type="dxa"/>
        <w:jc w:val="left"/>
        <w:tblInd w:w="0" w:type="dxa"/>
        <w:tblLayout w:type="fixed"/>
        <w:tblCellMar>
          <w:top w:w="0" w:type="dxa"/>
          <w:left w:w="0" w:type="dxa"/>
          <w:bottom w:w="0" w:type="dxa"/>
          <w:right w:w="0" w:type="dxa"/>
        </w:tblCellMar>
      </w:tblPr>
      <w:tblGrid>
        <w:gridCol w:w="1520"/>
        <w:gridCol w:w="60"/>
        <w:gridCol w:w="740"/>
        <w:gridCol w:w="60"/>
        <w:gridCol w:w="305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ALEC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15, 2026, Alector, Inc. (the “Company”) entered into an underwriting agreement (the “Underwriting Agreement”) with Morgan Stanley &amp; Co. LLC and BTIG, LLC (collectively, the “Underwriters”), relating to the issuance and sale (the “Offering”) of 36,600,000 shares (the “Shares”) of the Company’s common stock, par value $0.0001 per share (the “Common Stock”), at an offering price of $2.05 per share. All of the Shares in the Offering are being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gross proceeds from the Offering are expected to be $75,030,000.00 before deducting underwriting discounts and commissions and other offering expenses payable by the Company. The Offering is expected to close on October 19,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the Company’s effective registration statement on Form S-3 (File No. 333-294241) (the “Registration Statement”) and a related prospectus and prospectus supplement, in each case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terms of the Underwriting Agreement do not purport to be complete and are each qualified in their entirety by reference to the Underwriting Agreement, which is filed as Exhibit 1.1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opinion of Wilson Sonsini Goodrich &amp; Rosati, P.C. relating to the validity of the Shares is filed as Exhibit 5.1 hereto and is incorporated by reference into the Registration Statement.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copy of the press release announcing the pricing of the Offering is attached to this Current Report on Form 8-K as Exhibit 99.1.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statements made in this report are forward looking, such as those, among others, relating to the Company’s expectations regarding the timing and completion of the Offering. Actual results or developments may differ materially from those projected or implied in these forward-looking statements. Factors that may cause such a difference include risks and uncertainties related to completion of the public offering on the anticipated terms or at all, market conditions and the satisfaction of customary closing conditions related to the Offering. More information about the risks and uncertainties faced by the Company is contained under the caption “Risk Factors” in the Company’s Annual and Quarterly Reports on Form 10-K and 10-Q filed with the Securities and Exchange Commission (the “SEC”), and the Company’s future reports to be filed with the SEC. The Company disclaims any intention or obligation to update or revise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560"/>
        <w:gridCol w:w="120"/>
        <w:gridCol w:w="947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7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hyperlink w:anchor="d417912dex11.htm">
              <w:r>
                <w:rPr>
                  <w:rStyle w:val="InternetLink"/>
                </w:rPr>
                <w:t xml:space="preserve">Underwriting Agreement, dated as of October 15, 2026, among Alector, Inc. and the Underwriters.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hyperlink w:anchor="d417912dex51.htm">
              <w:r>
                <w:rPr>
                  <w:rStyle w:val="InternetLink"/>
                </w:rPr>
                <w:t xml:space="preserve">Opinion of Wilson Sonsini Goodrich &amp; Rosati, P.C.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hyperlink w:anchor="d417912dex51.htm">
              <w:r>
                <w:rPr>
                  <w:rStyle w:val="InternetLink"/>
                </w:rPr>
                <w:t xml:space="preserve">Consent of Wilson Sonsini Goodrich &amp; Rosati, P.C.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hyperlink w:anchor="d417912dex991.htm">
              <w:r>
                <w:rPr>
                  <w:rStyle w:val="InternetLink"/>
                </w:rPr>
                <w:t xml:space="preserve">Press Release dated October 16,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688"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485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5" w:type="dxa"/>
            <w:gridSpan w:val="3"/>
            <w:tcBorders/>
            <w:vAlign w:val="center"/>
          </w:tcPr>
          <w:p>
            <w:pPr>
              <w:pStyle w:val="TableContents"/>
              <w:bidi w:val="0"/>
              <w:spacing w:before="0" w:after="283"/>
              <w:jc w:val="left"/>
              <w:rPr>
                <w:b/>
              </w:rPr>
            </w:pPr>
            <w:r>
              <w:rPr>
                <w:b/>
              </w:rPr>
              <w:t>ALECTOR,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91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Neil Berkley</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Neil Berkley</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pPr>
            <w:r>
              <w:rPr/>
              <w:t>Chief Financial Officer and Chief Business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417912dex11.htm"/>
      <w:bookmarkStart w:id="3" w:name="ksd417912dex11"/>
      <w:bookmarkEnd w:id="2"/>
      <w:bookmarkEnd w:id="3"/>
      <w:r>
        <w:rPr>
          <w:rFonts w:ascii="Times New Roman" w:hAnsi="Times New Roman"/>
          <w:b/>
          <w:sz w:val="20"/>
        </w:rPr>
        <w:t xml:space="preserve">Exhibit 1.1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36,600,000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ALECTOR, INC.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October 15,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October 15, 2026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BTIG, LLC </w:t>
      </w:r>
    </w:p>
    <w:p>
      <w:pPr>
        <w:pStyle w:val="TextBody"/>
        <w:bidi w:val="0"/>
        <w:spacing w:before="240" w:after="0"/>
        <w:jc w:val="left"/>
        <w:rPr/>
      </w:pPr>
      <w:r>
        <w:rPr/>
        <w:t>  </w:t>
      </w:r>
      <w:r>
        <w:rPr>
          <w:rFonts w:ascii="Times New Roman" w:hAnsi="Times New Roman"/>
          <w:sz w:val="20"/>
        </w:rPr>
        <w:t xml:space="preserve">As Representatives of the several Underwriters </w:t>
      </w:r>
    </w:p>
    <w:p>
      <w:pPr>
        <w:pStyle w:val="TextBody"/>
        <w:bidi w:val="0"/>
        <w:spacing w:before="0" w:after="0"/>
        <w:jc w:val="left"/>
        <w:rPr/>
      </w:pPr>
      <w:r>
        <w:rPr/>
        <w:t>  </w:t>
      </w:r>
      <w:r>
        <w:rPr>
          <w:rFonts w:ascii="Times New Roman" w:hAnsi="Times New Roman"/>
          <w:sz w:val="20"/>
        </w:rPr>
        <w:t xml:space="preserve">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pPr>
      <w:r>
        <w:rPr/>
        <w:t>  </w:t>
      </w:r>
      <w:r>
        <w:rPr>
          <w:rFonts w:ascii="Times New Roman" w:hAnsi="Times New Roman"/>
          <w:sz w:val="20"/>
        </w:rPr>
        <w:t xml:space="preserve">1585 Broadway New York, </w:t>
      </w:r>
    </w:p>
    <w:p>
      <w:pPr>
        <w:pStyle w:val="TextBody"/>
        <w:bidi w:val="0"/>
        <w:spacing w:before="0" w:after="0"/>
        <w:jc w:val="left"/>
        <w:rPr/>
      </w:pPr>
      <w:r>
        <w:rPr/>
        <w:t>  </w:t>
      </w:r>
      <w:r>
        <w:rPr>
          <w:rFonts w:ascii="Times New Roman" w:hAnsi="Times New Roman"/>
          <w:sz w:val="20"/>
        </w:rPr>
        <w:t xml:space="preserve">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BTIG, LLC </w:t>
      </w:r>
    </w:p>
    <w:p>
      <w:pPr>
        <w:pStyle w:val="TextBody"/>
        <w:bidi w:val="0"/>
        <w:spacing w:before="0" w:after="0"/>
        <w:jc w:val="left"/>
        <w:rPr/>
      </w:pPr>
      <w:r>
        <w:rPr/>
        <w:t>  </w:t>
      </w:r>
      <w:r>
        <w:rPr>
          <w:rFonts w:ascii="Times New Roman" w:hAnsi="Times New Roman"/>
          <w:sz w:val="20"/>
        </w:rPr>
        <w:t xml:space="preserve">65 East 55th Street </w:t>
      </w:r>
    </w:p>
    <w:p>
      <w:pPr>
        <w:pStyle w:val="TextBody"/>
        <w:bidi w:val="0"/>
        <w:spacing w:before="0" w:after="0"/>
        <w:jc w:val="left"/>
        <w:rPr/>
      </w:pPr>
      <w:r>
        <w:rPr/>
        <w:t>  </w:t>
      </w: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Alector, Inc., a Delaware corporation (the “</w:t>
      </w:r>
      <w:r>
        <w:rPr>
          <w:rFonts w:ascii="Times New Roman" w:hAnsi="Times New Roman"/>
          <w:b/>
          <w:sz w:val="20"/>
        </w:rPr>
        <w:t>Company</w:t>
      </w:r>
      <w:r>
        <w:rPr>
          <w:rFonts w:ascii="Times New Roman" w:hAnsi="Times New Roman"/>
          <w:sz w:val="20"/>
        </w:rPr>
        <w:t xml:space="preserve">”), proposes to issue and sell to the several underwriters listed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b/>
          <w:sz w:val="20"/>
        </w:rPr>
        <w:t>Underwriters</w:t>
      </w:r>
      <w:r>
        <w:rPr>
          <w:rFonts w:ascii="Times New Roman" w:hAnsi="Times New Roman"/>
          <w:sz w:val="20"/>
        </w:rPr>
        <w:t>”), for whom Morgan Stanley &amp; Co. LLC and BTIG, LLC are acting as representatives (the “</w:t>
      </w:r>
      <w:r>
        <w:rPr>
          <w:rFonts w:ascii="Times New Roman" w:hAnsi="Times New Roman"/>
          <w:b/>
          <w:sz w:val="20"/>
        </w:rPr>
        <w:t>Representatives</w:t>
      </w:r>
      <w:r>
        <w:rPr>
          <w:rFonts w:ascii="Times New Roman" w:hAnsi="Times New Roman"/>
          <w:sz w:val="20"/>
        </w:rPr>
        <w:t>”), 36,600,000 shares of its common stock, par value $0.0001 per share (the “</w:t>
      </w:r>
      <w:r>
        <w:rPr>
          <w:rFonts w:ascii="Times New Roman" w:hAnsi="Times New Roman"/>
          <w:b/>
          <w:sz w:val="20"/>
        </w:rPr>
        <w:t>Shares</w:t>
      </w:r>
      <w:r>
        <w:rPr>
          <w:rFonts w:ascii="Times New Roman" w:hAnsi="Times New Roman"/>
          <w:sz w:val="20"/>
        </w:rPr>
        <w:t>”). The shares of common stock, par value $0.0001 per share, of the Company to be outstanding after giving effect to the sales contemplated hereby are hereinafter referred to as the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 shelf registration statement on Form S-3 (File No. 333-294241), including a prospectus, relating to the securities (the “</w:t>
      </w:r>
      <w:r>
        <w:rPr>
          <w:rFonts w:ascii="Times New Roman" w:hAnsi="Times New Roman"/>
          <w:b/>
          <w:sz w:val="20"/>
        </w:rPr>
        <w:t>Shelf Securities</w:t>
      </w:r>
      <w:r>
        <w:rPr>
          <w:rFonts w:ascii="Times New Roman" w:hAnsi="Times New Roman"/>
          <w:sz w:val="20"/>
        </w:rPr>
        <w:t>”), including the Shares, to be issued from time to time by the Company. Such registration statement, as amended at the time it became effective, including the information (if any) deemed to be part of the registration statement pursuant to Rule 430A under the Securities Act of 1933, as amended (the “</w:t>
      </w:r>
      <w:r>
        <w:rPr>
          <w:rFonts w:ascii="Times New Roman" w:hAnsi="Times New Roman"/>
          <w:b/>
          <w:sz w:val="20"/>
        </w:rPr>
        <w:t>Securities Act</w:t>
      </w:r>
      <w:r>
        <w:rPr>
          <w:rFonts w:ascii="Times New Roman" w:hAnsi="Times New Roman"/>
          <w:sz w:val="20"/>
        </w:rPr>
        <w:t>”), is hereinafter referred to as the “</w:t>
      </w:r>
      <w:r>
        <w:rPr>
          <w:rFonts w:ascii="Times New Roman" w:hAnsi="Times New Roman"/>
          <w:b/>
          <w:sz w:val="20"/>
        </w:rPr>
        <w:t>Registration Statement</w:t>
      </w:r>
      <w:r>
        <w:rPr>
          <w:rFonts w:ascii="Times New Roman" w:hAnsi="Times New Roman"/>
          <w:sz w:val="20"/>
        </w:rPr>
        <w:t>” and the related prospectus covering the Shelf Securities dated April 30, 2026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hAnsi="Times New Roman"/>
          <w:b/>
          <w:sz w:val="20"/>
        </w:rPr>
        <w:t>Basic Prospectus</w:t>
      </w:r>
      <w:r>
        <w:rPr>
          <w:rFonts w:ascii="Times New Roman" w:hAnsi="Times New Roman"/>
          <w:sz w:val="20"/>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hAnsi="Times New Roman"/>
          <w:b/>
          <w:sz w:val="20"/>
        </w:rPr>
        <w:t>Prospectus</w:t>
      </w:r>
      <w:r>
        <w:rPr>
          <w:rFonts w:ascii="Times New Roman" w:hAnsi="Times New Roman"/>
          <w:sz w:val="20"/>
        </w:rPr>
        <w:t>,” and the term “</w:t>
      </w:r>
      <w:r>
        <w:rPr>
          <w:rFonts w:ascii="Times New Roman" w:hAnsi="Times New Roman"/>
          <w:b/>
          <w:sz w:val="20"/>
        </w:rPr>
        <w:t>preliminary prospectus</w:t>
      </w:r>
      <w:r>
        <w:rPr>
          <w:rFonts w:ascii="Times New Roman" w:hAnsi="Times New Roman"/>
          <w:sz w:val="20"/>
        </w:rPr>
        <w:t>” means any preliminary form of the Prospectus. If the Company has filed an abbreviated registration statement to register additional shares of Common Stock pursuant to Rule 462(b) under the Securities Act (the “</w:t>
      </w:r>
      <w:r>
        <w:rPr>
          <w:rFonts w:ascii="Times New Roman" w:hAnsi="Times New Roman"/>
          <w:b/>
          <w:sz w:val="20"/>
        </w:rPr>
        <w:t>Rule</w:t>
      </w:r>
      <w:r>
        <w:rPr>
          <w:rFonts w:ascii="Times New Roman" w:hAnsi="Times New Roman"/>
          <w:sz w:val="20"/>
        </w:rPr>
        <w:t> </w:t>
      </w:r>
      <w:r>
        <w:rPr>
          <w:rFonts w:ascii="Times New Roman" w:hAnsi="Times New Roman"/>
          <w:b/>
          <w:sz w:val="20"/>
        </w:rPr>
        <w:t>462</w:t>
      </w:r>
      <w:r>
        <w:rPr>
          <w:rFonts w:ascii="Times New Roman" w:hAnsi="Times New Roman"/>
          <w:sz w:val="20"/>
        </w:rPr>
        <w:t xml:space="preserve"> </w:t>
      </w:r>
      <w:r>
        <w:rPr>
          <w:rFonts w:ascii="Times New Roman" w:hAnsi="Times New Roman"/>
          <w:b/>
          <w:sz w:val="20"/>
        </w:rPr>
        <w:t>Registration Statement</w:t>
      </w:r>
      <w:r>
        <w:rPr>
          <w:rFonts w:ascii="Times New Roman" w:hAnsi="Times New Roman"/>
          <w:sz w:val="20"/>
        </w:rPr>
        <w:t>”), then any reference herein to the term “</w:t>
      </w:r>
      <w:r>
        <w:rPr>
          <w:rFonts w:ascii="Times New Roman" w:hAnsi="Times New Roman"/>
          <w:b/>
          <w:sz w:val="20"/>
        </w:rPr>
        <w:t>Registration Statement</w:t>
      </w:r>
      <w:r>
        <w:rPr>
          <w:rFonts w:ascii="Times New Roman" w:hAnsi="Times New Roman"/>
          <w:sz w:val="20"/>
        </w:rPr>
        <w:t xml:space="preserve">” shall be deemed to include such Rule 462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free writing prospectus</w:t>
      </w:r>
      <w:r>
        <w:rPr>
          <w:rFonts w:ascii="Times New Roman" w:hAnsi="Times New Roman"/>
          <w:sz w:val="20"/>
        </w:rPr>
        <w:t>” has the meaning set forth in Rule 405 under the Securities Act, “</w:t>
      </w:r>
      <w:r>
        <w:rPr>
          <w:rFonts w:ascii="Times New Roman" w:hAnsi="Times New Roman"/>
          <w:b/>
          <w:sz w:val="20"/>
        </w:rPr>
        <w:t>Time of Sale Prospectus</w:t>
      </w:r>
      <w:r>
        <w:rPr>
          <w:rFonts w:ascii="Times New Roman" w:hAnsi="Times New Roman"/>
          <w:sz w:val="20"/>
        </w:rPr>
        <w:t xml:space="preserve">” means the Prospectus together with the documents and pricing information set forth in </w:t>
      </w:r>
      <w:r>
        <w:rPr>
          <w:rFonts w:ascii="Times New Roman" w:hAnsi="Times New Roman"/>
          <w:sz w:val="20"/>
          <w:u w:val="single"/>
        </w:rPr>
        <w:t>Schedule II</w:t>
      </w:r>
      <w:r>
        <w:rPr>
          <w:rFonts w:ascii="Times New Roman" w:hAnsi="Times New Roman"/>
          <w:sz w:val="20"/>
        </w:rPr>
        <w:t xml:space="preserve"> hereto, and “</w:t>
      </w:r>
      <w:r>
        <w:rPr>
          <w:rFonts w:ascii="Times New Roman" w:hAnsi="Times New Roman"/>
          <w:b/>
          <w:sz w:val="20"/>
        </w:rPr>
        <w:t>broadly available road show</w:t>
      </w:r>
      <w:r>
        <w:rPr>
          <w:rFonts w:ascii="Times New Roman" w:hAnsi="Times New Roman"/>
          <w:sz w:val="20"/>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hAnsi="Times New Roman"/>
          <w:b/>
          <w:sz w:val="20"/>
        </w:rPr>
        <w:t>supplement,</w:t>
      </w:r>
      <w:r>
        <w:rPr>
          <w:rFonts w:ascii="Times New Roman" w:hAnsi="Times New Roman"/>
          <w:sz w:val="20"/>
        </w:rPr>
        <w:t>” “</w:t>
      </w:r>
      <w:r>
        <w:rPr>
          <w:rFonts w:ascii="Times New Roman" w:hAnsi="Times New Roman"/>
          <w:b/>
          <w:sz w:val="20"/>
        </w:rPr>
        <w:t>amendment</w:t>
      </w:r>
      <w:r>
        <w:rPr>
          <w:rFonts w:ascii="Times New Roman" w:hAnsi="Times New Roman"/>
          <w:sz w:val="20"/>
        </w:rPr>
        <w:t>” and “</w:t>
      </w:r>
      <w:r>
        <w:rPr>
          <w:rFonts w:ascii="Times New Roman" w:hAnsi="Times New Roman"/>
          <w:b/>
          <w:sz w:val="20"/>
        </w:rPr>
        <w:t>amend</w:t>
      </w:r>
      <w:r>
        <w:rPr>
          <w:rFonts w:ascii="Times New Roman" w:hAnsi="Times New Roman"/>
          <w:sz w:val="20"/>
        </w:rPr>
        <w:t>” as used herein with respect to the Registration Statement, the Prospectus, the Time of Sale Prospectus or the Prospectus shall include all documents subsequently filed by the Company with the Commission pursuant to the Securities Exchange Act of 1934, as amended (the “</w:t>
      </w:r>
      <w:r>
        <w:rPr>
          <w:rFonts w:ascii="Times New Roman" w:hAnsi="Times New Roman"/>
          <w:b/>
          <w:sz w:val="20"/>
        </w:rPr>
        <w:t>Exchange Act</w:t>
      </w:r>
      <w:r>
        <w:rPr>
          <w:rFonts w:ascii="Times New Roman" w:hAnsi="Times New Roman"/>
          <w:sz w:val="20"/>
        </w:rPr>
        <w:t xml:space="preserve">”), that are deemed to be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w:t>
      </w:r>
      <w:r>
        <w:rPr>
          <w:rFonts w:ascii="Times New Roman" w:hAnsi="Times New Roman"/>
          <w:sz w:val="20"/>
        </w:rPr>
        <w:t xml:space="preserve">.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 with Registration Requirements</w:t>
      </w:r>
      <w:r>
        <w:rPr>
          <w:rFonts w:ascii="Times New Roman" w:hAnsi="Times New Roman"/>
          <w:sz w:val="20"/>
        </w:rPr>
        <w:t xml:space="preserve">. The Registration Statement has become effective; no stop order suspending the effectiveness of the Registration Statement is in effect; and no proceedings for such purpose or pursuant to Section 8A under the Securities Act are pending before or, to the Knowledge (as defined below) of the Company, threatened by the Commission. The sale of the Shares hereunder meets the requirements of General Instruction I.B.1 of Form S-3.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Securities Act and Exchange Act Compliance</w:t>
      </w:r>
      <w:r>
        <w:rPr>
          <w:rFonts w:ascii="Times New Roman" w:hAnsi="Times New Roman"/>
          <w:sz w:val="20"/>
        </w:rPr>
        <w:t xml:space="preserve">.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as of the date of such amendment or supplement,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will not contain, as of the date of such amendment or supplement or as of the Closing Date, any untrue statement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 it being understood and agreed that the only such information furnished in writing by the Underwriters through the Representatives consists of the Underwriter Information (as defined below). Each document filed pursuant to the Exchange Act, and incorporated by reference in the Time of Sale Prospectus or the Prospectus complied when so filed in all material respects with the Exchange Act and the applicable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of preliminary prospectus</w:t>
      </w:r>
      <w:r>
        <w:rPr>
          <w:rFonts w:ascii="Times New Roman" w:hAnsi="Times New Roman"/>
          <w:sz w:val="20"/>
        </w:rPr>
        <w:t xml:space="preserve">.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Misstatement or Omission</w:t>
      </w:r>
      <w:r>
        <w:rPr>
          <w:rFonts w:ascii="Times New Roman" w:hAnsi="Times New Roman"/>
          <w:sz w:val="20"/>
        </w:rPr>
        <w:t xml:space="preserve">. As of the time of each sale of the Shares in connection with the offering when the Prospectus is not yet available to prospective purchasers, none of the Time of Sale Prospectus, any free writing prospectus, when considered together with the Time of Sale Prospectus, and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Offering Materials Furnished to the Representatives and the Underwriters</w:t>
      </w:r>
      <w:r>
        <w:rPr>
          <w:rFonts w:ascii="Times New Roman" w:hAnsi="Times New Roman"/>
          <w:sz w:val="20"/>
        </w:rPr>
        <w:t xml:space="preserve">. The Company has delivered to each Representative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the Representatives reasonably requested. The Registration Statement, the Prospectus and any free writing prospectuses, if any, identified in </w:t>
      </w:r>
      <w:r>
        <w:rPr>
          <w:rFonts w:ascii="Times New Roman" w:hAnsi="Times New Roman"/>
          <w:sz w:val="20"/>
          <w:u w:val="single"/>
        </w:rPr>
        <w:t>Schedule II</w:t>
      </w:r>
      <w:r>
        <w:rPr>
          <w:rFonts w:ascii="Times New Roman" w:hAnsi="Times New Roman"/>
          <w:sz w:val="20"/>
        </w:rPr>
        <w:t xml:space="preserve"> hereto, (to the extent any such free writing prospectus was required to be filed with the Commission) delivered to the Underwriters for use in connection with the public offering of the Shares contemplated herein have been and will be identical to the versions of such documents transmitted to the Commission for filing via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Free Writing Prospectus</w:t>
      </w:r>
      <w:r>
        <w:rPr>
          <w:rFonts w:ascii="Times New Roman" w:hAnsi="Times New Roman"/>
          <w:sz w:val="20"/>
        </w:rPr>
        <w:t xml:space="preserve">.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to file, pursuant to Rule 433(d) under the Securities Act or that was prepared by or on behalf of or used or referred to by the Company complies or, if filed after the effective date of this Agreement, will comply as of the date of such filing, in all material respects with the requirements of the Securities Act and the applicable rules and regulations of the Commission thereunder. Except for the free writing prospectuses, if any, identified in </w:t>
      </w:r>
      <w:r>
        <w:rPr>
          <w:rFonts w:ascii="Times New Roman" w:hAnsi="Times New Roman"/>
          <w:sz w:val="20"/>
          <w:u w:val="single"/>
        </w:rPr>
        <w:t>Schedule II</w:t>
      </w:r>
      <w:r>
        <w:rPr>
          <w:rFonts w:ascii="Times New Roman" w:hAnsi="Times New Roman"/>
          <w:sz w:val="20"/>
        </w:rPr>
        <w:t xml:space="preserve"> hereto, and electronic road shows, if any, furnished to and approved by the Representatives, the Company has not prepared, used or referred to, and will not, prepare, use or refer to, any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Emerging Growth Company</w:t>
      </w:r>
      <w:r>
        <w:rPr>
          <w:rFonts w:ascii="Times New Roman" w:hAnsi="Times New Roman"/>
          <w:sz w:val="20"/>
        </w:rPr>
        <w:t xml:space="preserve">. The Company is not an “emerging growth company,” as defined in Section 2(a)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Distribution of Offering Material by the Company</w:t>
      </w:r>
      <w:r>
        <w:rPr>
          <w:rFonts w:ascii="Times New Roman" w:hAnsi="Times New Roman"/>
          <w:sz w:val="20"/>
        </w:rPr>
        <w:t>. The Company (i) has not alone engaged in any Testing-the-Waters Communication with any person and (ii) has not authorized anyone to engage in Testing-the-Waters Communications. The Company has not distributed any Testing-the-Waters Communication that is a written communication within the meaning of Rule 405 under the Securities Act. “</w:t>
      </w:r>
      <w:r>
        <w:rPr>
          <w:rFonts w:ascii="Times New Roman" w:hAnsi="Times New Roman"/>
          <w:b/>
          <w:sz w:val="20"/>
          <w:u w:val="single"/>
        </w:rPr>
        <w:t>Testing-the-Waters Communication</w:t>
      </w:r>
      <w:r>
        <w:rPr>
          <w:rFonts w:ascii="Times New Roman" w:hAnsi="Times New Roman"/>
          <w:sz w:val="20"/>
        </w:rPr>
        <w:t xml:space="preserve">” means any communication with potential investors undertaken in reliance on Section 5(d) or Rule 163B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The Underwriting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Authorization of the Common Stock</w:t>
      </w:r>
      <w:r>
        <w:rPr>
          <w:rFonts w:ascii="Times New Roman" w:hAnsi="Times New Roman"/>
          <w:sz w:val="20"/>
        </w:rPr>
        <w:t xml:space="preserve">. The authorized capital stock of the Company conforms as to legal matters in all material respects to the description thereof contained in, or incorporated by reference into, each of the Registration Statement, the Time of Sale Prospectus and the Prospectus. The Shares have been duly authorized and, when paid for, issued and delivered in accordance with the terms of this Agreement, will be validly issued, fully paid and non-assessable, and the issuance of the Shares will not be subject to any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Disclosure</w:t>
      </w:r>
      <w:r>
        <w:rPr>
          <w:rFonts w:ascii="Times New Roman" w:hAnsi="Times New Roman"/>
          <w:sz w:val="20"/>
        </w:rPr>
        <w:t xml:space="preserve">. The statements set forth in the Time of Sale Prospectus and the Prospectus under the caption “Description of Capital Stock”, insofar as they purport to constitute a summary of the terms of the capital stock of the Company, under the caption “Material U.S. Federal Income Tax Consequences for Non-U.S. Holders”, and under the caption “Underwriting”, are accurate, complete and fair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Applicable Registration or Other Similar Rights</w:t>
      </w:r>
      <w:r>
        <w:rPr>
          <w:rFonts w:ascii="Times New Roman" w:hAnsi="Times New Roman"/>
          <w:sz w:val="20"/>
        </w:rPr>
        <w:t xml:space="preserve">.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otherwise have been validly waived or complied with in connection with the issuance and sale of the Shares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Material Adverse Change</w:t>
      </w:r>
      <w:r>
        <w:rPr>
          <w:rFonts w:ascii="Times New Roman" w:hAnsi="Times New Roman"/>
          <w:sz w:val="20"/>
        </w:rPr>
        <w:t>. There has not occurred any material adverse change, or any development involving a prospective material adverse change, in the condition, financial or otherwise, or in the earnings, business or operations of the Company and its Subsidiaries (as defined below), taken as a whole, (a “</w:t>
      </w:r>
      <w:r>
        <w:rPr>
          <w:rFonts w:ascii="Times New Roman" w:hAnsi="Times New Roman"/>
          <w:b/>
          <w:sz w:val="20"/>
          <w:u w:val="single"/>
        </w:rPr>
        <w:t>Material Adverse Change</w:t>
      </w:r>
      <w:r>
        <w:rPr>
          <w:rFonts w:ascii="Times New Roman" w:hAnsi="Times New Roman"/>
          <w:sz w:val="20"/>
        </w:rPr>
        <w:t xml:space="preserve">”) from that set forth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Independent Accountants</w:t>
      </w:r>
      <w:r>
        <w:rPr>
          <w:rFonts w:ascii="Times New Roman" w:hAnsi="Times New Roman"/>
          <w:sz w:val="20"/>
        </w:rPr>
        <w:t xml:space="preserve">. Ernst &amp; Young LLP, which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and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Preparation of the Financial Statements</w:t>
      </w:r>
      <w:r>
        <w:rPr>
          <w:rFonts w:ascii="Times New Roman" w:hAnsi="Times New Roman"/>
          <w:sz w:val="20"/>
        </w:rPr>
        <w:t xml:space="preserve">. The financial statements (including the related notes thereto) of the Company and its consolidated Subsidiaries included or incorporated by reference in each of the Registration Statement, the Time of Sale Prospectus and the Prospectus comply in all material respects with the applicable requirements of the Securities Act and present fairly in all material respects the consolidated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the other financial information included in the Registration Statement, the Time of Sale Prospectus and the Prospectus has been derived from the accounting records of the Company and its Subsidiaries and presents fairly in all material respects the information shown thereby.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XBRL</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Incorporation and Good Standing of the Company and its Subsidiaries</w:t>
      </w:r>
      <w:r>
        <w:rPr>
          <w:rFonts w:ascii="Times New Roman" w:hAnsi="Times New Roman"/>
          <w:sz w:val="20"/>
        </w:rPr>
        <w:t>. 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Each subsidiary of the Company (each a “</w:t>
      </w:r>
      <w:r>
        <w:rPr>
          <w:rFonts w:ascii="Times New Roman" w:hAnsi="Times New Roman"/>
          <w:b/>
          <w:sz w:val="20"/>
          <w:u w:val="single"/>
        </w:rPr>
        <w:t>Subsidiary</w:t>
      </w:r>
      <w:r>
        <w:rPr>
          <w:rFonts w:ascii="Times New Roman" w:hAnsi="Times New Roman"/>
          <w:sz w:val="20"/>
        </w:rPr>
        <w:t xml:space="preserve">”) has been duly organized, is validly existing and in good standing under the laws of the State of Delaware, has the corporate or other organizational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its Subsidiaries, taken as a whole; all of the issued shares of capital stock or other equity interests of each Subsidiary of the Company have been duly and validly authorized and issued, are fully paid and non-assessable and are owned directly by the Company or a Subsidiary of the Company, free and clear of all liens, encumbrances, equities or claims, except as disclosed in the Registration Statement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Capital Stock Matters</w:t>
      </w:r>
      <w:r>
        <w:rPr>
          <w:rFonts w:ascii="Times New Roman" w:hAnsi="Times New Roman"/>
          <w:sz w:val="20"/>
        </w:rPr>
        <w:t xml:space="preserve">. The shares of Common Stock outstanding prior to the issuance of the Shares have been duly authorized and are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Non-Contravention of Existing Instruments; No Further Authorizations or Approvals Required</w:t>
      </w:r>
      <w:r>
        <w:rPr>
          <w:rFonts w:ascii="Times New Roman" w:hAnsi="Times New Roman"/>
          <w:sz w:val="20"/>
        </w:rPr>
        <w:t xml:space="preserve">. 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cases of clauses (i), (iii), and (iv), as would not reasonably be likely to have a material adverse effect on the Company and its Subsidiaries, taken as a whole or adversely affect the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in connection with the offer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No Material Actions or Proceedings</w:t>
      </w:r>
      <w:r>
        <w:rPr>
          <w:rFonts w:ascii="Times New Roman" w:hAnsi="Times New Roman"/>
          <w:sz w:val="20"/>
        </w:rPr>
        <w:t>. There are no legal or governmental proceedings pending or, to the knowledge of the Company (“</w:t>
      </w:r>
      <w:r>
        <w:rPr>
          <w:rFonts w:ascii="Times New Roman" w:hAnsi="Times New Roman"/>
          <w:b/>
          <w:sz w:val="20"/>
          <w:u w:val="single"/>
        </w:rPr>
        <w:t>Knowledge</w:t>
      </w:r>
      <w:r>
        <w:rPr>
          <w:rFonts w:ascii="Times New Roman" w:hAnsi="Times New Roman"/>
          <w:sz w:val="20"/>
        </w:rPr>
        <w:t xml:space="preserv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All Necessary Permits, etc</w:t>
      </w:r>
      <w:r>
        <w:rPr>
          <w:rFonts w:ascii="Times New Roman" w:hAnsi="Times New Roman"/>
          <w:sz w:val="20"/>
        </w:rPr>
        <w:t xml:space="preserve">. The Company and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revocation or modification of any such certificate, authorization or permit which, singly or in the aggregate, if the subject of an unfavorable decision, ruling or finding, would have a material adverse effect on the Company and its Subsidiaries, taken as a whole, except as described in the Registration Statement, the Time of Sale Prospectus and Prospectus.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Regulatory Matters</w:t>
      </w:r>
      <w:r>
        <w:rPr>
          <w:rFonts w:ascii="Times New Roman" w:hAnsi="Times New Roman"/>
          <w:sz w:val="20"/>
        </w:rPr>
        <w:t>. The Company and its Subsidiaries have operated at all times and are currently in compliance with all applicable statutes, rules, regulations and policies of the U.S. Food and Drug Administration (the “</w:t>
      </w:r>
      <w:r>
        <w:rPr>
          <w:rFonts w:ascii="Times New Roman" w:hAnsi="Times New Roman"/>
          <w:b/>
          <w:sz w:val="20"/>
          <w:u w:val="single"/>
        </w:rPr>
        <w:t>FDA</w:t>
      </w:r>
      <w:r>
        <w:rPr>
          <w:rFonts w:ascii="Times New Roman" w:hAnsi="Times New Roman"/>
          <w:sz w:val="20"/>
        </w:rPr>
        <w:t>”) and applicable foreign regulatory authorities, including the European Medicines Agency and the UK Medicines &amp; Healthcare products Regulatory Agency (collectively, the “</w:t>
      </w:r>
      <w:r>
        <w:rPr>
          <w:rFonts w:ascii="Times New Roman" w:hAnsi="Times New Roman"/>
          <w:b/>
          <w:sz w:val="20"/>
          <w:u w:val="single"/>
        </w:rPr>
        <w:t>Regulatory Authorities</w:t>
      </w:r>
      <w:r>
        <w:rPr>
          <w:rFonts w:ascii="Times New Roman" w:hAnsi="Times New Roman"/>
          <w:sz w:val="20"/>
        </w:rPr>
        <w:t xml:space="preserve">”), except where failure to be in compliance would not reasonably be expected to have a material adverse effect on the Company and its Subsidiaries, taken as a whole, including, without limitation the following,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the Federal Food, Drug, and Cosmetic Act and the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(ii) 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w:t>
      </w:r>
      <w:r>
        <w:rPr>
          <w:rFonts w:ascii="Times New Roman" w:hAnsi="Times New Roman"/>
          <w:b/>
          <w:sz w:val="20"/>
          <w:u w:val="single"/>
        </w:rPr>
        <w:t>HIPAA</w:t>
      </w:r>
      <w:r>
        <w:rPr>
          <w:rFonts w:ascii="Times New Roman" w:hAnsi="Times New Roman"/>
          <w:sz w:val="20"/>
        </w:rPr>
        <w:t xml:space="preserve">”) (42 U.S.C. Section 1320d et seq.), the exclusion laws, the statutes, regulations and directives of applicable government funded or sponsored healthcare programs, and the regulations promulgated pursuant to such statutes; </w:t>
      </w:r>
    </w:p>
    <w:p>
      <w:pPr>
        <w:pStyle w:val="TextBody"/>
        <w:bidi w:val="0"/>
        <w:spacing w:before="120" w:after="0"/>
        <w:jc w:val="left"/>
        <w:rPr>
          <w:rFonts w:ascii="Times New Roman" w:hAnsi="Times New Roman"/>
          <w:sz w:val="20"/>
        </w:rPr>
      </w:pPr>
      <w:r>
        <w:rPr>
          <w:rFonts w:ascii="Times New Roman" w:hAnsi="Times New Roman"/>
          <w:sz w:val="20"/>
        </w:rPr>
        <w:t xml:space="preserve">(iii) 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 </w:t>
      </w:r>
    </w:p>
    <w:p>
      <w:pPr>
        <w:pStyle w:val="TextBody"/>
        <w:bidi w:val="0"/>
        <w:spacing w:before="120" w:after="0"/>
        <w:jc w:val="left"/>
        <w:rPr>
          <w:rFonts w:ascii="Times New Roman" w:hAnsi="Times New Roman"/>
          <w:sz w:val="20"/>
        </w:rPr>
      </w:pPr>
      <w:r>
        <w:rPr>
          <w:rFonts w:ascii="Times New Roman" w:hAnsi="Times New Roman"/>
          <w:sz w:val="20"/>
        </w:rPr>
        <w:t xml:space="preserve">(iv) the Patient Protection and Affordable Care Act of 2010, as amended by the Health Care and Education Reconciliation Act of 2010, the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(v) the U.S. Controlled Substances Act (21 U.S.C. Section 801 et seq.); </w:t>
      </w:r>
    </w:p>
    <w:p>
      <w:pPr>
        <w:pStyle w:val="TextBody"/>
        <w:bidi w:val="0"/>
        <w:spacing w:before="120" w:after="0"/>
        <w:jc w:val="left"/>
        <w:rPr>
          <w:rFonts w:ascii="Times New Roman" w:hAnsi="Times New Roman"/>
          <w:sz w:val="20"/>
        </w:rPr>
      </w:pPr>
      <w:r>
        <w:rPr>
          <w:rFonts w:ascii="Times New Roman" w:hAnsi="Times New Roman"/>
          <w:sz w:val="20"/>
        </w:rPr>
        <w:t xml:space="preserve">(vi) licensure, quality, safety and accreditation requirements under applicable federal, state, local or foreign laws or regulatory bodies;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all other local, state, federal, 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(clauses (i) through (vii), collectively, “</w:t>
      </w:r>
      <w:r>
        <w:rPr>
          <w:rFonts w:ascii="Times New Roman" w:hAnsi="Times New Roman"/>
          <w:b/>
          <w:sz w:val="20"/>
          <w:u w:val="single"/>
        </w:rPr>
        <w:t>Health Care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Company Tests and Trials</w:t>
      </w:r>
      <w:r>
        <w:rPr>
          <w:rFonts w:ascii="Times New Roman" w:hAnsi="Times New Roman"/>
          <w:sz w:val="20"/>
        </w:rPr>
        <w:t xml:space="preserve">. (i) Except as would not reasonably be expected to result in a Material Adverse Change the Company and its Subsidiaries, the studies, tests and preclinical and clinical trials conducted by or, to the Knowledge of the Company, any studies tests and preclinical and clinical trials conducted on behalf of or sponsored by the Company or its Subsidiaries or in which the Company or its Subsidiaries have participated, were, and if still pending are, being conducted in accordance with standard medical and experimental protocols, procedures and controls pursuant to accepted professional scientific research standards and procedures, and all applicable Health Care Laws, the rules and regulations of the Regulatory Authorities and current Good Clinical Practices and Good Laboratory Practices; (ii) the descriptions of the results of such studies and trials contained in the Registration Statement, the Time of Sale Prospectus and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the Company reasonably believes are inconsistent with or call into question the results described or referred to in the Registration Statement, the Time of Sale Prospectus and the Prospectus; (iv) the Company has provided the Representatives with all material substantive written notices, correspondence and summaries of all other material communications provided to the Company or its Subsidiaries from the Regulatory Authorities; and (v) neither the Company nor any of its Subsidiaries have received any written notices, correspondence or other communications from any Regulatory Authority or any other governmental entity requiring or threatening the termination,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Required Reports and Records</w:t>
      </w:r>
      <w:r>
        <w:rPr>
          <w:rFonts w:ascii="Times New Roman" w:hAnsi="Times New Roman"/>
          <w:sz w:val="20"/>
        </w:rPr>
        <w:t xml:space="preserve">. (i) the Company and its Subsidiaries have filed, obtained,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in all material respects, timely, complete, accurate and not misleading on the date filed (or were corrected or supplemented by a subsequent submission); (ii) neither the Company nor its Subsidiaries have received written notice of any claim, action, suit, proceeding, hearing, enforcement, investigation, arbitration or other action from any court or arbitrator or Regulatory Authority, other governmental entity or third party alleging that any Company, Subsidiary, or product operation or activity is in violation of any Health 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neither the Company nor its Subsidiaries are a party to any corporate integrity agreements, monitoring agreements, consent decrees, settlement orders, or similar agreements with or imposed by any Regulatory Authority or other governmental entity; and (iv)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Tax Law Compliance</w:t>
      </w:r>
      <w:r>
        <w:rPr>
          <w:rFonts w:ascii="Times New Roman" w:hAnsi="Times New Roman"/>
          <w:sz w:val="20"/>
        </w:rPr>
        <w:t xml:space="preserve">. The Company and each of its Subsidiaries have filed all federal, state, local and foreign tax returns required to be filed through the date of this Agreement or have obtained extensions thereof (except where the failure to file would not, individually or in the aggregate, reasonably be expected to have a material adverse effect) and have paid all taxes required to be paid thereon (except for cases in which the failure to file or pay would not, individually or in the aggregate, reasonably be expected to have a material adverse effect, or, except as currently being contested in good faith and for which reserves required by U.S. GAAP have been created in the financial statements of the Company), and no unpaid tax deficiency has been determined adversely to the Company or any of its Subsidiaries which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Company Not an “Investment Company</w:t>
      </w:r>
      <w:r>
        <w:rPr>
          <w:rFonts w:ascii="Times New Roman" w:hAnsi="Times New Roman"/>
          <w:sz w:val="20"/>
        </w:rPr>
        <w:t xml:space="preserve">”. The Company is not, and after giving effect to the offering and sale of the Shares and the application of the proceeds thereof as described in the each of the Registration Statement, the Time of Sale Prospectus and the Prospectus will not be, required to register as an “investment company” as such term is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Insurance</w:t>
      </w:r>
      <w:r>
        <w:rPr>
          <w:rFonts w:ascii="Times New Roman" w:hAnsi="Times New Roman"/>
          <w:sz w:val="20"/>
        </w:rPr>
        <w:t xml:space="preserve">. 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Subsidiaries, taken as a whole, except as described in the Registration Statement and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No Unlawful Contributions or Other Payments</w:t>
      </w:r>
      <w:r>
        <w:rPr>
          <w:rFonts w:ascii="Times New Roman" w:hAnsi="Times New Roman"/>
          <w:sz w:val="20"/>
        </w:rPr>
        <w:t>. (i) None of the Company or its Subsidiaries or controlled affiliates, or any director, officer, or employee of the Company nor, to the Company’s Knowledge, any agent or representative of the Company or of any of its Subsidiaries or affiliates, has taken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improperly influence official action, or to any person in violation of any applicable anti-corruption laws; (ii) neither the Company nor any Subsidiary nor any director, officer or employee of the Company or any Subsidiary nor, to the Company’s Knowledge, any agent, affiliate or other person acting on behalf of the Company or any Subsidiary has (A)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(collectively, “</w:t>
      </w:r>
      <w:r>
        <w:rPr>
          <w:rFonts w:ascii="Times New Roman" w:hAnsi="Times New Roman"/>
          <w:b/>
          <w:sz w:val="20"/>
        </w:rPr>
        <w:t>Anti-Corruption Laws</w:t>
      </w:r>
      <w:r>
        <w:rPr>
          <w:rFonts w:ascii="Times New Roman" w:hAnsi="Times New Roman"/>
          <w:sz w:val="20"/>
        </w:rPr>
        <w:t xml:space="preserve">”),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 (iii) the Company and its Subsidiaries and affiliates have conducted their businesses in compliance with all applicable Anti-Corruption Laws and have instituted and maintained and will continue to maintain policies and procedures reasonably designed to promote and achieve compliance with such laws and with the representations and warranties contained herein; and (iv)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Compliance with Money Laundering Laws</w:t>
      </w:r>
      <w:r>
        <w:rPr>
          <w:rFonts w:ascii="Times New Roman" w:hAnsi="Times New Roman"/>
          <w:sz w:val="20"/>
        </w:rPr>
        <w:t>. 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u w:val="single"/>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Compliance with OFAC</w:t>
      </w:r>
      <w:r>
        <w:rPr>
          <w:rFonts w:ascii="Times New Roman" w:hAnsi="Times New Roman"/>
          <w:sz w:val="20"/>
        </w:rPr>
        <w:t>. (i) None of the Company, any of its Subsidiaries, or any director, officer, or employee thereof, or, to the Company’s Knowledge, any agent, controlled affiliate or representative of the Company or any of its Subsidiaries, is an individual or entity (“</w:t>
      </w:r>
      <w:r>
        <w:rPr>
          <w:rFonts w:ascii="Times New Roman" w:hAnsi="Times New Roman"/>
          <w:b/>
          <w:sz w:val="20"/>
          <w:u w:val="single"/>
        </w:rPr>
        <w:t>Person</w:t>
      </w:r>
      <w:r>
        <w:rPr>
          <w:rFonts w:ascii="Times New Roman" w:hAnsi="Times New Roman"/>
          <w:sz w:val="20"/>
        </w:rPr>
        <w:t xml:space="preserve">”)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or target of any sanctions administered or enforced by the United States Government, including, without limitation, the U.S. Department of Treasury’s Office of Foreign Assets Control (“</w:t>
      </w:r>
      <w:r>
        <w:rPr>
          <w:rFonts w:ascii="Times New Roman" w:hAnsi="Times New Roman"/>
          <w:b/>
          <w:sz w:val="20"/>
        </w:rPr>
        <w:t>OFAC</w:t>
      </w:r>
      <w:r>
        <w:rPr>
          <w:rFonts w:ascii="Times New Roman" w:hAnsi="Times New Roman"/>
          <w:sz w:val="20"/>
        </w:rPr>
        <w:t>”), the United Nations Security Council, the European Union, the United Kingdom government (including the Foreign, Commonwealth &amp; Development Office), or other relevant sanctions authorities, including, without limitation, designation on OFAC’s Specially Designated Nationals and Blocked Persons List, OFAC’s Foreign Sanctions Evaders List or other similar applicable legislation or rules (collectively, “</w:t>
      </w:r>
      <w:r>
        <w:rPr>
          <w:rFonts w:ascii="Times New Roman" w:hAnsi="Times New Roman"/>
          <w:b/>
          <w:sz w:val="20"/>
          <w:u w:val="single"/>
        </w:rPr>
        <w:t>Sanctions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(B) located, organized or resident in a country or territory that is the subject of Sanctions (including, without limitation, the so-called Donetsk People’s Republic, the so-called Luhansk People’s Republic, the Crimea Region and the non-government controlled areas of the Zaporizhzhia and Kherson Regions of Ukraine, Cuba, Iran, North Korea and Syria) (each a “</w:t>
      </w:r>
      <w:r>
        <w:rPr>
          <w:rFonts w:ascii="Times New Roman" w:hAnsi="Times New Roman"/>
          <w:b/>
          <w:sz w:val="20"/>
        </w:rPr>
        <w:t>Sanctioned Country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of or business (1) with any Person or in any country or territory that, at the time of such funding or facilitation, is the subject or target of Sanctions, (2) in or involving a country or territory which at the time of such funding is the subject of country-wide or territory-wide Sanctions or is a Sanctioned Country; or </w:t>
      </w:r>
    </w:p>
    <w:p>
      <w:pPr>
        <w:pStyle w:val="TextBody"/>
        <w:bidi w:val="0"/>
        <w:spacing w:before="12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Since April 24, 2019, the Company and its Subsidiaries have not knowingly engaged in, are not now knowingly engaged in, and will not knowingly engage in, any dealings or transactions with any Person, or in any country or territory, that at the time of the dealing or transaction is or was the subject of Sanctions or is or was a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Company’s Accounting System</w:t>
      </w:r>
      <w:r>
        <w:rPr>
          <w:rFonts w:ascii="Times New Roman" w:hAnsi="Times New Roman"/>
          <w:sz w:val="20"/>
        </w:rPr>
        <w:t xml:space="preserve">.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Time of Sale Prospectus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Disclosure Controls</w:t>
      </w:r>
      <w:r>
        <w:rPr>
          <w:rFonts w:ascii="Times New Roman" w:hAnsi="Times New Roman"/>
          <w:sz w:val="20"/>
        </w:rPr>
        <w:t xml:space="preserve">. The Company maintains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and such disclosure controls and procedures were effective as of the end of the Company’s most recently completed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Compliance with 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u w:val="single"/>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Intellectual Property</w:t>
      </w:r>
      <w:r>
        <w:rPr>
          <w:rFonts w:ascii="Times New Roman" w:hAnsi="Times New Roman"/>
          <w:sz w:val="20"/>
        </w:rPr>
        <w:t>. Except as would not reasonably be expected to have a material adverse effect, the Company and its Subsidiaries own or possess or have the right to use, or can acquire on commercially reasonable terms, adequate rights to use all material patents, patent rights, licenses, inventions, copyrights, know-how (including trade secrets and other unpatented and/or unpatentable proprietary or confidential information, systems or procedures), trademarks, service marks and trade names, domain names and other source indicators, and other intellectual property and similar rights, including registrations and applications for registration thereof (collectively “</w:t>
      </w:r>
      <w:r>
        <w:rPr>
          <w:rFonts w:ascii="Times New Roman" w:hAnsi="Times New Roman"/>
          <w:b/>
          <w:sz w:val="20"/>
          <w:u w:val="single"/>
        </w:rPr>
        <w:t>Intellectual Property Rights</w:t>
      </w:r>
      <w:r>
        <w:rPr>
          <w:rFonts w:ascii="Times New Roman" w:hAnsi="Times New Roman"/>
          <w:sz w:val="20"/>
        </w:rPr>
        <w:t xml:space="preserve">”) necessary to the conduct of the business as described in the Registration Statement, the Time of Sale Prospectus and the Prospectus, now operated or currently contemplated to be conducted by them. Each material application or registration owned by or exclusively licensed to the Company or its Subsidiaries is being diligently prosecuted, and all other material Intellectual Property Rights owned by or exclusively licensed to the Company or its Subsidiaries is being diligently maintained. Except as described in the Registration Statement, the Time of Sale Prospectus or the Prospectus, to the Company’s Knowledge, neither the Company nor any of its Subsidiaries has infringed, misappropriated, or otherwise violated the Intellectual Property Rights of any third party in any material respect, and neither the manufacture of, nor the use or sale of, any of the Company’s or any of its Subsidiaries’ products or contemplated products would infringe or otherwise violate the Intellectual Property Rights of any third party in any material respect. Except as disclosed in the Registration Statement, the Time of Sale Prospectus or the Prospectus, and except as would not, individually or in the aggregate, have a material adverse effect on the Company or any of its Subsidiaries, (i) to the Company’s Knowledge, there are no rights of third parties to any of the Intellectual Property Rights owned or purported to be owned by the Company or its Subsidiaries except for rights explicitly granted to third parties through licenses granted by the Company, (ii) to the Company’s Knowledge, there is no material infringement, misappropriation, breach, default or other violation, or the occurrence of any event that with notice or the passage of time would constitute any of the foregoing, by any third party of any of the Intellectual Property Rights of the Company or any of its Subsidiaries, (iii) none of the Intellectual Property Rights used or held for use by the Company or any of its Subsidiaries has been obtained or is being used or held for use by the Company or any of its Subsidiaries in material violation of any contractual obligation binding on the Company or any of its Subsidiaries or, to the Company’s Knowledge, in violation of any rights of any third party, (iv) the Company and its Subsidiaries have taken reasonable steps in accordance with normal industry practice to maintain the confidentiality of all Intellectual Property Rights the value of which to the Company or any Subsidiary is contingent upon maintaining the confidentiality thereof, (v) to the Company’s Knowledge, all Intellectual Property Rights owned by or exclusively licensed to the Company or any of its Subsidiaries are valid and enforceable, and (vi) there is no pending or, to the Company’s Knowledge, threatened action, suit, proceeding or claim by any third party (A) challenging the Company’s or any of its Subsidiaries’ rights in or to, or alleging the violation of any of the terms of, any of the Company’s or its Subsidiaries’ Intellectual Property Rights, (B) challenging the validity, enforceability or scope of any Intellectual Property Rights owned by or exclusively licensed to the Company or any of its Subsidiaries, or (C) alleging that the Company or any of its Subsidiaries has infringed, misappropriated or otherwise violated or conflicted with any Intellectual Property Rights of any third party, and in the case of each of clauses (A), (B) and (C) above, the Company is unaware of any fact which would form a reasonable basis for any such action, suit, proceeding or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Listing</w:t>
      </w:r>
      <w:r>
        <w:rPr>
          <w:rFonts w:ascii="Times New Roman" w:hAnsi="Times New Roman"/>
          <w:sz w:val="20"/>
        </w:rPr>
        <w:t>. The Company is subject to and in compliance in all material respects with the reporting requirements of Section 13 or Section 15(d) of the Exchange Act. The Common Stock is registered pursuant to Section 12(b) or Section 12(g) of the Exchange Act and is listed on The Nasdaq Stock Market LLC (“</w:t>
      </w:r>
      <w:r>
        <w:rPr>
          <w:rFonts w:ascii="Times New Roman" w:hAnsi="Times New Roman"/>
          <w:b/>
          <w:sz w:val="20"/>
          <w:u w:val="single"/>
        </w:rPr>
        <w:t>Nasdaq</w:t>
      </w:r>
      <w:r>
        <w:rPr>
          <w:rFonts w:ascii="Times New Roman" w:hAnsi="Times New Roman"/>
          <w:sz w:val="20"/>
        </w:rPr>
        <w:t xml:space="preserve">”),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Shares that have been or may be sold under this Agreement have been approved for listing on Nasdaq, subject to official notice of issuance; the Company has taken all necessary actions to ensure that, upon and at all times after Nasdaq shall have approved the Shares for listing, it will be in compliance with all applicable corporate governance requirements set forth in Nasdaq’s listing rules that are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Brokers</w:t>
      </w:r>
      <w:r>
        <w:rPr>
          <w:rFonts w:ascii="Times New Roman" w:hAnsi="Times New Roman"/>
          <w:sz w:val="20"/>
        </w:rPr>
        <w:t xml:space="preserve">. Except pursuant to this Agreement, there is no broker, finder or other party that is entitled to receive from the Company any brokerage or finder’s fee or other fee or commission as a result of any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No Outstanding Loans or Other Indebtedness</w:t>
      </w:r>
      <w:r>
        <w:rPr>
          <w:rFonts w:ascii="Times New Roman" w:hAnsi="Times New Roman"/>
          <w:sz w:val="20"/>
        </w:rPr>
        <w:t xml:space="preserve">. Except as described in the Registration Statement, the Time of Sale Prospectus or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No Reliance</w:t>
      </w:r>
      <w:r>
        <w:rPr>
          <w:rFonts w:ascii="Times New Roman" w:hAnsi="Times New Roman"/>
          <w:sz w:val="20"/>
        </w:rPr>
        <w:t xml:space="preserve">. The Company has not relied upon any Underwriter or legal counsel for the Underwriters for any legal, tax or accounting advice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FINRA Exemption</w:t>
      </w:r>
      <w:r>
        <w:rPr>
          <w:rFonts w:ascii="Times New Roman" w:hAnsi="Times New Roman"/>
          <w:sz w:val="20"/>
        </w:rPr>
        <w:t>. As of the date hereof, the Company qualifies as an “experienced issuer” (within the meaning of the Financial Industry Regulatory Authority (“</w:t>
      </w:r>
      <w:r>
        <w:rPr>
          <w:rFonts w:ascii="Times New Roman" w:hAnsi="Times New Roman"/>
          <w:b/>
          <w:sz w:val="20"/>
          <w:u w:val="single"/>
        </w:rPr>
        <w:t>FINRA</w:t>
      </w:r>
      <w:r>
        <w:rPr>
          <w:rFonts w:ascii="Times New Roman" w:hAnsi="Times New Roman"/>
          <w:sz w:val="20"/>
        </w:rPr>
        <w:t xml:space="preserve">”) Rule 5110(j)(6)) for purposes of the exemption from filing under FINRA Rule 5110(h)(1)(C).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Compliance with Laws</w:t>
      </w:r>
      <w:r>
        <w:rPr>
          <w:rFonts w:ascii="Times New Roman" w:hAnsi="Times New Roman"/>
          <w:sz w:val="20"/>
        </w:rPr>
        <w:t xml:space="preserve">.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Privacy Laws</w:t>
      </w:r>
      <w:r>
        <w:rPr>
          <w:rFonts w:ascii="Times New Roman" w:hAnsi="Times New Roman"/>
          <w:sz w:val="20"/>
        </w:rPr>
        <w:t xml:space="preserve">. (i) Except as would not reasonably be expected to have a material adverse effect on the Company and its Subsidiaries, taken as a whole, the Company and each of its Subsidiaries have complied and are presently in compliance with all applicable internal and external privacy policies, contractual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laws, statutes, judgments, orders, rules and regulations of any court or arbitrator or other governmental or regulatory authority and any other legal obligations, in each case relating to the collection, use, transfer, import, export, storage, protection, disposal, disclosure or other processing by the Company or any of its Subsidiaries of personal, personally identifiable, household, sensitive, confidential or regulated data or information (“</w:t>
      </w:r>
      <w:r>
        <w:rPr>
          <w:rFonts w:ascii="Times New Roman" w:hAnsi="Times New Roman"/>
          <w:b/>
          <w:sz w:val="20"/>
          <w:u w:val="single"/>
        </w:rPr>
        <w:t>Data Security Obligations</w:t>
      </w:r>
      <w:r>
        <w:rPr>
          <w:rFonts w:ascii="Times New Roman" w:hAnsi="Times New Roman"/>
          <w:sz w:val="20"/>
        </w:rPr>
        <w:t>”, and such data “</w:t>
      </w:r>
      <w:r>
        <w:rPr>
          <w:rFonts w:ascii="Times New Roman" w:hAnsi="Times New Roman"/>
          <w:b/>
          <w:sz w:val="20"/>
          <w:u w:val="single"/>
        </w:rPr>
        <w:t>Personal Data</w:t>
      </w:r>
      <w:r>
        <w:rPr>
          <w:rFonts w:ascii="Times New Roman" w:hAnsi="Times New Roman"/>
          <w:sz w:val="20"/>
        </w:rPr>
        <w:t xml:space="preserve">”); (ii) the Company and its Subsidiaries have not received any written notification or complaint alleging, any material non-compliance by the Company, any of its Subsidiaries or third parties acting on the Company’s or its Subsidiaries’ behalf with any Data Security Obligation; and (iii) there is no action, suit or proceeding by or before any court or governmental agency, authority or body pending or, to the Company’s Knowledge, threatened, alleging non-compliance by the Company, any of its Subsidiaries or third parties acting on the Company’s or its Subsidiaries’ behalf with any Data Security Obligation.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IT Systems</w:t>
      </w:r>
      <w:r>
        <w:rPr>
          <w:rFonts w:ascii="Times New Roman" w:hAnsi="Times New Roman"/>
          <w:sz w:val="20"/>
        </w:rPr>
        <w:t>. Except as would not reasonably be expected to have a material adverse effect on the Company and its Subsidiaries, taken as a whole, (i) the Company and each of its Subsidiaries have implemented appropriate technical and organizational measures designed to protect the information technology systems and Personal Data used in connection with the Company’s and its Subsidiaries’ businesses, including having established, maintained, implemented and complied with reasonable information technology, information security, cybersecurity and data protection controls, policies and procedures that are designed to protect against and prevent breach, destruction, loss, unauthorized distribution, use, access, disablement, misappropriation or modification, or other compromise or misuse of any information technology system or Personal Data in the possession or control of the Company or its Subsidiaries and used in connection with the operation of the Company’s and its Subsidiaries’ businesses (“</w:t>
      </w:r>
      <w:r>
        <w:rPr>
          <w:rFonts w:ascii="Times New Roman" w:hAnsi="Times New Roman"/>
          <w:b/>
          <w:sz w:val="20"/>
        </w:rPr>
        <w:t>Breach</w:t>
      </w:r>
      <w:r>
        <w:rPr>
          <w:rFonts w:ascii="Times New Roman" w:hAnsi="Times New Roman"/>
          <w:sz w:val="20"/>
        </w:rPr>
        <w:t xml:space="preserve">”); and (ii) to the Company’s Knowledge, there has been no such Breach and the Company and its Subsidiaries have not been notified in writing of any such Breach.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Export and Import Laws</w:t>
      </w:r>
      <w:r>
        <w:rPr>
          <w:rFonts w:ascii="Times New Roman" w:hAnsi="Times New Roman"/>
          <w:sz w:val="20"/>
        </w:rPr>
        <w:t>. Each of the Company and the Subsidiaries, and, to the Company’s Knowledge, each of their affiliates and any director, officer, agent or employee of, or other person associated with or acting on behalf of, the Company has acted at all times in compliance, in all material respects, with applicable Export and Import Laws (as defined below) and there are no material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hAnsi="Times New Roman"/>
          <w:b/>
          <w:sz w:val="20"/>
          <w:u w:val="single"/>
        </w:rPr>
        <w:t>Export and Import Laws</w:t>
      </w:r>
      <w:r>
        <w:rPr>
          <w:rFonts w:ascii="Times New Roman" w:hAnsi="Times New Roman"/>
          <w:sz w:val="20"/>
        </w:rPr>
        <w:t xml:space="preserve">”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Real and Personal Property</w:t>
      </w:r>
      <w:r>
        <w:rPr>
          <w:rFonts w:ascii="Times New Roman" w:hAnsi="Times New Roman"/>
          <w:sz w:val="20"/>
        </w:rPr>
        <w:t xml:space="preserve">. Neither the Company nor its Subsidiaries own any real property. The Company and its Subsidiaries have good and marketable title to all personal property (other than intellectual property, which is addressed exclusively in </w:t>
      </w:r>
      <w:r>
        <w:rPr>
          <w:rFonts w:ascii="Times New Roman" w:hAnsi="Times New Roman"/>
          <w:sz w:val="20"/>
          <w:u w:val="single"/>
        </w:rPr>
        <w:t>Section 1(hh)</w:t>
      </w:r>
      <w:r>
        <w:rPr>
          <w:rFonts w:ascii="Times New Roman" w:hAnsi="Times New Roman"/>
          <w:sz w:val="20"/>
        </w:rPr>
        <w:t xml:space="preserve">)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to the Knowledge of the Company, enforceable leases with such exceptions as are not material and do not materially interfere with the use made and proposed to be made of such property and buildings by the Company and its Subsidiaries, in each case except as described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Compliance with ERISA</w:t>
      </w:r>
      <w:r>
        <w:rPr>
          <w:rFonts w:ascii="Times New Roman" w:hAnsi="Times New Roman"/>
          <w:sz w:val="20"/>
        </w:rPr>
        <w:t>. (i) Each employee benefit plan, within the meaning of Section 3(3) of the Employee Retirement Income Security Act of 1974, as amended (“</w:t>
      </w:r>
      <w:r>
        <w:rPr>
          <w:rFonts w:ascii="Times New Roman" w:hAnsi="Times New Roman"/>
          <w:b/>
          <w:sz w:val="20"/>
          <w:u w:val="single"/>
        </w:rPr>
        <w:t>ERISA</w:t>
      </w:r>
      <w:r>
        <w:rPr>
          <w:rFonts w:ascii="Times New Roman" w:hAnsi="Times New Roman"/>
          <w:sz w:val="20"/>
        </w:rPr>
        <w:t xml:space="preserve">”), for which the Company or any member of its “Controlled Group” (for the purpose of this </w:t>
      </w:r>
      <w:r>
        <w:rPr>
          <w:rFonts w:ascii="Times New Roman" w:hAnsi="Times New Roman"/>
          <w:sz w:val="20"/>
          <w:u w:val="single"/>
        </w:rPr>
        <w:t>Section 1(ss)</w:t>
      </w:r>
      <w:r>
        <w:rPr>
          <w:rFonts w:ascii="Times New Roman" w:hAnsi="Times New Roman"/>
          <w:sz w:val="20"/>
        </w:rPr>
        <w:t>, “</w:t>
      </w:r>
      <w:r>
        <w:rPr>
          <w:rFonts w:ascii="Times New Roman" w:hAnsi="Times New Roman"/>
          <w:b/>
          <w:sz w:val="20"/>
          <w:u w:val="single"/>
        </w:rPr>
        <w:t>Controlled Group</w:t>
      </w:r>
      <w:r>
        <w:rPr>
          <w:rFonts w:ascii="Times New Roman" w:hAnsi="Times New Roman"/>
          <w:sz w:val="20"/>
        </w:rPr>
        <w:t>” is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Times New Roman" w:hAnsi="Times New Roman"/>
          <w:b/>
          <w:sz w:val="20"/>
          <w:u w:val="single"/>
        </w:rPr>
        <w:t>Code</w:t>
      </w:r>
      <w:r>
        <w:rPr>
          <w:rFonts w:ascii="Times New Roman" w:hAnsi="Times New Roman"/>
          <w:sz w:val="20"/>
        </w:rPr>
        <w:t>”)) would have any liability (each, a “</w:t>
      </w:r>
      <w:r>
        <w:rPr>
          <w:rFonts w:ascii="Times New Roman" w:hAnsi="Times New Roman"/>
          <w:b/>
          <w:sz w:val="20"/>
        </w:rPr>
        <w:t>Plan</w:t>
      </w:r>
      <w:r>
        <w:rPr>
          <w:rFonts w:ascii="Times New Roman" w:hAnsi="Times New Roman"/>
          <w:sz w:val="20"/>
        </w:rPr>
        <w:t xml:space="preserve">”) has been maintained in material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Sarbanes-Oxley Act</w:t>
      </w:r>
      <w:r>
        <w:rPr>
          <w:rFonts w:ascii="Times New Roman" w:hAnsi="Times New Roman"/>
          <w:sz w:val="20"/>
        </w:rPr>
        <w:t>. There is and has been no failure on the part of the Company or any of its Subsidiaries or, to the Company’s Knowledge, any of their officers or directors, in their capacities as such, to comply with any provision of the Sarbanes-Oxley Act of 2002 and the rules and regulations promulgated in connection therewith (the “</w:t>
      </w:r>
      <w:r>
        <w:rPr>
          <w:rFonts w:ascii="Times New Roman" w:hAnsi="Times New Roman"/>
          <w:b/>
          <w:sz w:val="20"/>
          <w:u w:val="single"/>
        </w:rPr>
        <w:t>Sarbanes-Oxley Act</w:t>
      </w:r>
      <w:r>
        <w:rPr>
          <w:rFonts w:ascii="Times New Roman" w:hAnsi="Times New Roman"/>
          <w:sz w:val="20"/>
        </w:rPr>
        <w:t xml:space="preserve">”) then applicable to the Company or any of its Subsidiaries,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Statistical and Market Data</w:t>
      </w:r>
      <w:r>
        <w:rPr>
          <w:rFonts w:ascii="Times New Roman" w:hAnsi="Times New Roman"/>
          <w:sz w:val="20"/>
        </w:rPr>
        <w:t xml:space="preserve">. The statistical, industry-related and market-related data included in the Registration Statement, the Time of Sale Prospectus and the Prospectus are based on or derived from sources that the Company believes, after reasonable inquiry, to be reliable and accurate in all material respects, such data is consistent with the sources from which they are derived, and, to the extent required, the Company has obtained the written consent to the use of such data from such sources.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sz w:val="20"/>
          <w:u w:val="single"/>
        </w:rPr>
        <w:t>No Acquisitions or Dispositions</w:t>
      </w:r>
      <w:r>
        <w:rPr>
          <w:rFonts w:ascii="Times New Roman" w:hAnsi="Times New Roman"/>
          <w:sz w:val="20"/>
        </w:rPr>
        <w:t xml:space="preserve">. 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services from the Company or its Subsidiaries pursuant to equity compensation plans or agreements described in the Time of Sale Prospectus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(ww) </w:t>
      </w:r>
      <w:r>
        <w:rPr>
          <w:rFonts w:ascii="Times New Roman" w:hAnsi="Times New Roman"/>
          <w:sz w:val="20"/>
          <w:u w:val="single"/>
        </w:rPr>
        <w:t>Labor Disputes</w:t>
      </w:r>
      <w:r>
        <w:rPr>
          <w:rFonts w:ascii="Times New Roman" w:hAnsi="Times New Roman"/>
          <w:sz w:val="20"/>
        </w:rPr>
        <w:t xml:space="preserve">. 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Outbound Investment Rules</w:t>
      </w:r>
      <w:r>
        <w:rPr>
          <w:rFonts w:ascii="Times New Roman" w:hAnsi="Times New Roman"/>
          <w:sz w:val="20"/>
        </w:rPr>
        <w:t>. Neither the Company nor any of its Subsidiaries is a “covered foreign person” as that term is used in the Outbound Investment Rules (as defined below).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(as defined below) or (iii) any other activity that would cause the Underwriters to be in violation of the Outbound Investment Rules or cause the Underwriters to be legally prohibited by the Outbound Investment Rules from performing under this Agreement. For purposes of this Section 1(xx), “</w:t>
      </w:r>
      <w:r>
        <w:rPr>
          <w:rFonts w:ascii="Times New Roman" w:hAnsi="Times New Roman"/>
          <w:b/>
          <w:sz w:val="20"/>
        </w:rPr>
        <w:t>Outbound Investment Rules</w:t>
      </w:r>
      <w:r>
        <w:rPr>
          <w:rFonts w:ascii="Times New Roman" w:hAnsi="Times New Roman"/>
          <w:sz w:val="20"/>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§850.202 et seq. and “</w:t>
      </w:r>
      <w:r>
        <w:rPr>
          <w:rFonts w:ascii="Times New Roman" w:hAnsi="Times New Roman"/>
          <w:b/>
          <w:sz w:val="20"/>
        </w:rPr>
        <w:t>U.S. Person</w:t>
      </w:r>
      <w:r>
        <w:rPr>
          <w:rFonts w:ascii="Times New Roman" w:hAnsi="Times New Roman"/>
          <w:sz w:val="20"/>
        </w:rPr>
        <w:t xml:space="preserve">” means any United States citizen, lawful permanent resident, entity organized under the laws of the United States or any jurisdiction within the United States, including any foreign branch of any such entity, or any person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 officer of the Company and delivered to any Underwriter or to counsel for the Underwriter pursuant to or in connection with this Agreement shall be deemed to be a representation and warranty by the Company to the Underwriters as to the matters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Agreements to Sell and Purchase. </w:t>
      </w:r>
      <w:r>
        <w:rPr>
          <w:rFonts w:ascii="Times New Roman" w:hAnsi="Times New Roman"/>
          <w:sz w:val="20"/>
        </w:rPr>
        <w:t xml:space="preserve">The Company hereby agrees to sell to the Underwriters, and the Underwriters, upon the basis of the representations and warranties herein contained, but subject to the conditions hereinafter stated, agrees to purchase from the Company the number of Shares set forth in </w:t>
      </w:r>
      <w:r>
        <w:rPr>
          <w:rFonts w:ascii="Times New Roman" w:hAnsi="Times New Roman"/>
          <w:sz w:val="20"/>
          <w:u w:val="single"/>
        </w:rPr>
        <w:t>Schedule I</w:t>
      </w:r>
      <w:r>
        <w:rPr>
          <w:rFonts w:ascii="Times New Roman" w:hAnsi="Times New Roman"/>
          <w:sz w:val="20"/>
        </w:rPr>
        <w:t xml:space="preserve"> hereto opposite its name at $1.927 a share (the “</w:t>
      </w:r>
      <w:r>
        <w:rPr>
          <w:rFonts w:ascii="Times New Roman" w:hAnsi="Times New Roman"/>
          <w:b/>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Public Offering</w:t>
      </w:r>
      <w:r>
        <w:rPr>
          <w:rFonts w:ascii="Times New Roman" w:hAnsi="Times New Roman"/>
          <w:sz w:val="20"/>
        </w:rPr>
        <w:t xml:space="preserve">. The Representatives hereby advise the Company that the Underwriters intend to make a public offering of the Shares as soon after this Agreement becomes effective as, in the judgment of the Representatives, is advisable. The Company is further advised by the Representatives that the Shares are to be offered to the public on the terms set forth in the Registration Statement, Time of Sale Prospectus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Payment and Delivery. </w:t>
      </w:r>
      <w:r>
        <w:rPr>
          <w:rFonts w:ascii="Times New Roman" w:hAnsi="Times New Roman"/>
          <w:sz w:val="20"/>
        </w:rPr>
        <w:t>Payment for the Shares shall be made to the Company in Federal or other funds immediately available in New York City to the account specified by the Company to the Representatives against delivery of such Shares to the Representatives for the accounts of the several Underwriters at 10:00 a.m., New York City time, on October 19, 2026, or at such other time on the same or such other date, not later than October 19, 2026, as shall be designated in writing by the Representatives.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Shares shall be registered in such names and in such denominations as the Representatives shall request in writing not later than one full business day prior to the Closing Date. The Shares shall be delivered to the Representatives for the accounts of the several Underwriters on the Closing Date with any transfer taxes payable in connection with the transfer of the Shares to the Underwriter duly paid, against payment of the Purchase Price therefor. Delivery of the Shares shall be made through the facilities of The Depository Trust Company unless the Representatives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 Obligations</w:t>
      </w:r>
      <w:r>
        <w:rPr>
          <w:rFonts w:ascii="Times New Roman" w:hAnsi="Times New Roman"/>
          <w:sz w:val="20"/>
        </w:rPr>
        <w:t xml:space="preserve">. The obligations of the Underwriters are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no order suspending the effectiveness of the Registration Statement shall be in effect, and no proceeding for such purpose or pursuant to Section 8A under the Securities Act shall be pending before or threatened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Representatives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officer signing and delivering such certificate may rely upon the best of his or her knowledge as to proceedings threatened. </w:t>
      </w:r>
    </w:p>
    <w:p>
      <w:pPr>
        <w:pStyle w:val="TextBody"/>
        <w:bidi w:val="0"/>
        <w:spacing w:before="120" w:after="0"/>
        <w:jc w:val="left"/>
        <w:rPr>
          <w:rFonts w:ascii="Times New Roman" w:hAnsi="Times New Roman"/>
          <w:sz w:val="20"/>
        </w:rPr>
      </w:pPr>
      <w:r>
        <w:rPr>
          <w:rFonts w:ascii="Times New Roman" w:hAnsi="Times New Roman"/>
          <w:sz w:val="20"/>
        </w:rPr>
        <w:t xml:space="preserve">(c) The Representatives shall have received a certificate, dated the date hereof, of the principal financial officer of the Company in form and substance reasonably satisfactory to the Representatives. On the Closing Date, the Representatives shall have received from the principal financial officer of the Company a certificate, dated as of the Closing Date, to the effect that he or she reaffirms the statements made in the certificate furnished pursuant to Section 5(c) hereof </w:t>
      </w:r>
    </w:p>
    <w:p>
      <w:pPr>
        <w:pStyle w:val="TextBody"/>
        <w:bidi w:val="0"/>
        <w:spacing w:before="120" w:after="0"/>
        <w:jc w:val="left"/>
        <w:rPr>
          <w:rFonts w:ascii="Times New Roman" w:hAnsi="Times New Roman"/>
          <w:sz w:val="20"/>
        </w:rPr>
      </w:pPr>
      <w:r>
        <w:rPr>
          <w:rFonts w:ascii="Times New Roman" w:hAnsi="Times New Roman"/>
          <w:sz w:val="20"/>
        </w:rPr>
        <w:t>(d) The Representatives shall have received on the Closing Date (i) an opinion and (ii) a negative assurance letter of Wilson Sonsini Goodrich &amp; Rosati, Professional Corporation (“</w:t>
      </w:r>
      <w:r>
        <w:rPr>
          <w:rFonts w:ascii="Times New Roman" w:hAnsi="Times New Roman"/>
          <w:b/>
          <w:sz w:val="20"/>
        </w:rPr>
        <w:t>WSGR</w:t>
      </w:r>
      <w:r>
        <w:rPr>
          <w:rFonts w:ascii="Times New Roman" w:hAnsi="Times New Roman"/>
          <w:sz w:val="20"/>
        </w:rPr>
        <w:t xml:space="preserve">”), outside counsel for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(e) The Representatives shall have received on the Closing Date opinions of Morrison &amp; Foerster LLP and Sterne, Kessler, Goldstein &amp; Fox PLLC, outside intellectual property counsel for the Company, dated the Closing Date,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(f) The Representatives shall have received on the Closing Date (i) an opinion and (ii) a negative assurance letter of Davis Polk &amp; Wardwell LLP (“</w:t>
      </w:r>
      <w:r>
        <w:rPr>
          <w:rFonts w:ascii="Times New Roman" w:hAnsi="Times New Roman"/>
          <w:b/>
          <w:sz w:val="20"/>
        </w:rPr>
        <w:t>Davis Polk</w:t>
      </w:r>
      <w:r>
        <w:rPr>
          <w:rFonts w:ascii="Times New Roman" w:hAnsi="Times New Roman"/>
          <w:sz w:val="20"/>
        </w:rPr>
        <w:t xml:space="preserve">”), counsel for the Underwriters, dated the Closing Date, in form and substance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Section 5(d) above, WSGR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With respect to Section 5(f) above, Davis Polk may state that their opinions and beliefs are based upon their participation in the preparation of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 </w:t>
      </w:r>
    </w:p>
    <w:p>
      <w:pPr>
        <w:pStyle w:val="TextBody"/>
        <w:bidi w:val="0"/>
        <w:spacing w:before="240" w:after="0"/>
        <w:jc w:val="left"/>
        <w:rPr>
          <w:rFonts w:ascii="Times New Roman" w:hAnsi="Times New Roman"/>
          <w:sz w:val="20"/>
        </w:rPr>
      </w:pPr>
      <w:r>
        <w:rPr>
          <w:rFonts w:ascii="Times New Roman" w:hAnsi="Times New Roman"/>
          <w:sz w:val="20"/>
        </w:rPr>
        <w:t xml:space="preserve">The opinion and negative assurance letter of WSGR described in Section 5(d) and the opinions of Morrison &amp; Foerster LLP and Sterne, Kessler, Goldstein &amp; Fox PLLC described in Section 5(e) above shall be rendered to the Representatives at the request of the Company and shall so state therein. </w:t>
      </w:r>
    </w:p>
    <w:p>
      <w:pPr>
        <w:pStyle w:val="TextBody"/>
        <w:bidi w:val="0"/>
        <w:spacing w:before="120" w:after="0"/>
        <w:jc w:val="left"/>
        <w:rPr>
          <w:rFonts w:ascii="Times New Roman" w:hAnsi="Times New Roman"/>
          <w:sz w:val="20"/>
        </w:rPr>
      </w:pPr>
      <w:r>
        <w:rPr>
          <w:rFonts w:ascii="Times New Roman" w:hAnsi="Times New Roman"/>
          <w:sz w:val="20"/>
        </w:rPr>
        <w:t xml:space="preserve">(g) The Representatives shall have received, on each of the date hereof and the Closing Date, a letter dated the date hereof or the Closing Date, as the case may be, in form and substance satisfactory to the Representatives,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“lock-up” agreements, each substantially in the form of </w:t>
      </w:r>
      <w:r>
        <w:rPr>
          <w:rFonts w:ascii="Times New Roman" w:hAnsi="Times New Roman"/>
          <w:sz w:val="20"/>
          <w:u w:val="single"/>
        </w:rPr>
        <w:t>Exhibit A</w:t>
      </w:r>
      <w:r>
        <w:rPr>
          <w:rFonts w:ascii="Times New Roman" w:hAnsi="Times New Roman"/>
          <w:sz w:val="20"/>
        </w:rPr>
        <w:t xml:space="preserve"> hereto, between you and certain officers and directors of the Company relating to sales and certain other dispositions of shares of Common Stock or certain other securities, delivered to you on or before the date hereof, shall be in full force and effect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furnish to you in New York City, without charge, prior to 10:00 a.m. New York City time on the second business day succeeding the date of this Agreement and during the period when a prospectus relating to the Shares is required by the Securities Act to be delivered (whether physically or through compliance with Rule 172 under the Securities Act or any similar rule) in connection with sales of the Shares, as many copies of the Time of Sale Prospectus, the Prospectus, any documents incorporated by reference therein and any supplements and amendments thereto or to the Registration Statement as you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 </w:t>
      </w:r>
    </w:p>
    <w:p>
      <w:pPr>
        <w:pStyle w:val="TextBody"/>
        <w:bidi w:val="0"/>
        <w:spacing w:before="120" w:after="0"/>
        <w:jc w:val="left"/>
        <w:rPr>
          <w:rFonts w:ascii="Times New Roman" w:hAnsi="Times New Roman"/>
          <w:sz w:val="20"/>
        </w:rPr>
      </w:pPr>
      <w:r>
        <w:rPr>
          <w:rFonts w:ascii="Times New Roman" w:hAnsi="Times New Roman"/>
          <w:sz w:val="20"/>
        </w:rPr>
        <w:t xml:space="preserve">(c) To furnish to you a copy of each proposed free writing prospectus to be prepared by or on behalf of, used by, or referred to by the Company and not to use or refer to any proposed free writing prospectus to which you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Not to take any action that would result in any Underwriter or the Company being required to file with the Commission pursuant to Rule 433(d) under the Securities Act a free writing prospectus prepared by or on behalf of such Underwriter that such Underwriter otherwise would not have been required to file thereunder. </w:t>
      </w:r>
    </w:p>
    <w:p>
      <w:pPr>
        <w:pStyle w:val="TextBody"/>
        <w:bidi w:val="0"/>
        <w:spacing w:before="120" w:after="0"/>
        <w:jc w:val="left"/>
        <w:rPr>
          <w:rFonts w:ascii="Times New Roman" w:hAnsi="Times New Roman"/>
          <w:sz w:val="20"/>
        </w:rPr>
      </w:pPr>
      <w:r>
        <w:rPr>
          <w:rFonts w:ascii="Times New Roman" w:hAnsi="Times New Roman"/>
          <w:sz w:val="20"/>
        </w:rPr>
        <w:t xml:space="preserve">(e)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If, during such period after the first date of the public offering of the Shares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To endeavor to qualify the Shares for offer and sale under the securities or Blue Sky laws of such jurisdictions as you shall reasonably request; provided, however, that nothing contained herein shall require the Company to qualify to do business in any jurisdiction, execute a general consent to service of process in any jurisdiction or to subject itself to taxation in any jurisdiction in which it is not otherwise subject. </w:t>
      </w:r>
    </w:p>
    <w:p>
      <w:pPr>
        <w:pStyle w:val="TextBody"/>
        <w:bidi w:val="0"/>
        <w:spacing w:before="120" w:after="0"/>
        <w:jc w:val="left"/>
        <w:rPr>
          <w:rFonts w:ascii="Times New Roman" w:hAnsi="Times New Roman"/>
          <w:sz w:val="20"/>
        </w:rPr>
      </w:pPr>
      <w:r>
        <w:rPr>
          <w:rFonts w:ascii="Times New Roman" w:hAnsi="Times New Roman"/>
          <w:sz w:val="20"/>
        </w:rPr>
        <w:t xml:space="preserve">(h) 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provided, that the amount of such fees and disbursements of counsel to be paid by the Company shall not exceed $2,500 in the aggregate, (iv) all filing fees and the reasonable fees and disbursements of counsel to the Underwriters incurred in connection with the review and qualification of the offering of the Shares by the Financial Industry Regulatory Authority, provided, that the amount of such fees and disbursements of counsel to be paid by the Company shall not exceed $10,000 in the aggregate, (v) all costs and expenses incident to listing the Shares on the Nasdaq Global Select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6,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 </w:t>
      </w:r>
    </w:p>
    <w:p>
      <w:pPr>
        <w:pStyle w:val="TextBody"/>
        <w:bidi w:val="0"/>
        <w:spacing w:before="120" w:after="0"/>
        <w:jc w:val="left"/>
        <w:rPr>
          <w:rFonts w:ascii="Times New Roman" w:hAnsi="Times New Roman"/>
          <w:sz w:val="20"/>
        </w:rPr>
      </w:pPr>
      <w:r>
        <w:rPr>
          <w:rFonts w:ascii="Times New Roman" w:hAnsi="Times New Roman"/>
          <w:sz w:val="20"/>
        </w:rPr>
        <w:t xml:space="preserve">(j) 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(k)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p>
    <w:p>
      <w:pPr>
        <w:pStyle w:val="TextBody"/>
        <w:bidi w:val="0"/>
        <w:spacing w:before="120" w:after="0"/>
        <w:jc w:val="left"/>
        <w:rPr>
          <w:rFonts w:ascii="Times New Roman" w:hAnsi="Times New Roman"/>
          <w:sz w:val="20"/>
        </w:rPr>
      </w:pPr>
      <w:r>
        <w:rPr>
          <w:rFonts w:ascii="Times New Roman" w:hAnsi="Times New Roman"/>
          <w:sz w:val="20"/>
        </w:rPr>
        <w:t>(i) To not, without the prior written consent of the Representatives, during the period ending on and including the 30th day after the date of the Prospectus (the “</w:t>
      </w:r>
      <w:r>
        <w:rPr>
          <w:rFonts w:ascii="Times New Roman" w:hAnsi="Times New Roman"/>
          <w:b/>
          <w:sz w:val="20"/>
        </w:rPr>
        <w:t>Restricted Period</w:t>
      </w:r>
      <w:r>
        <w:rPr>
          <w:rFonts w:ascii="Times New Roman" w:hAnsi="Times New Roman"/>
          <w:sz w:val="20"/>
        </w:rPr>
        <w:t xml:space="preserve">”), (A)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(B) enter into any swap or other arrangement that transfers to another, in whole or in part, any of the economic consequences of ownership of the Common Stock, whether any such transaction described in clause (A) or (B) above is to be settled by delivery of Common Stock or such other securities, in cash or otherwise or (C) file any registration statement with the Commission relating to the offering of any shares of Common Stock or any securities convertible into or exercisable or exchangeable for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 The restrictions contained in the preceding paragraph shall not apply to (A) the Shares to be sold hereunder, (B) the issuance by the Company of shares of Common Stock upon the exercise (including any net exercise) of an option or warrant or the conversion of a security outstanding on the date hereof and described in the Time of Sale Prospectus, (C) the issuance by the Company of options, restricted stock units or restricted stock awards (including the Common Stock issued upon the settlement or exercise thereof) to employees, officers, directors, advisors, or consultants of the Company pursuant to employee benefit plans (including equity incentive plans) described in the Time of Sale Prospectus and the Prospectus, </w:t>
      </w:r>
      <w:r>
        <w:rPr>
          <w:rFonts w:ascii="Times New Roman" w:hAnsi="Times New Roman"/>
          <w:i/>
          <w:sz w:val="20"/>
        </w:rPr>
        <w:t>provided</w:t>
      </w:r>
      <w:r>
        <w:rPr>
          <w:rFonts w:ascii="Times New Roman" w:hAnsi="Times New Roman"/>
          <w:sz w:val="20"/>
        </w:rPr>
        <w:t xml:space="preserve"> that, prior to the issuance of any such options, restricted stock units or restricted stock awards, the Company shall cause each recipient of such securities who is a director or executive officer of the Company to execute and deliver a lock-up agreement substantially in the form of Exhibit A hereto, (D) the filing by the Company of registration statements on Form S-8 with respect to employee benefit plans (including any employee benefit plans assumed pursuant to clause (F)), (E) the establishment of a trading plan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(1) such plan does not provide for the transfer of Common Stock during the Restricted Period and (2)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(F) the issuance by the Company of shares of Common Stock or securities convertible into, exchangeable for, or that represent the right to receive Common Stock in connection with (1) the acquisition by the Company or any of its Subsidiaries of the securities, business, technology, property or other assets of another person or entity or pursuant to an employee benefit plan assumed by the Company in connection with such acquisition, (2) the Company’s joint ventures, equipment leasing arrangements, licensing transactions, collaborations,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financings and other strategic transactions or (G) a “sell-to-cover” transaction in connection with the vesting and settlement of restricted stock units pursuant to employee benefit plans (including equity incentive plans) described in the Time of Sale Prospectus and the Prospectus, to satisfy applicable tax withholding obligations; provided that the aggregate number of shares of Common Stock that the Company may sell or issue or agree to sell or issue pursuant to clause (F) shall not exceed 5% of the total number of shares of Common Stock outstanding immediately following the completion of the transaction contemplated by this Agreement and the Company shall cause each recipient of such securities to execute and deliver to the Representatives, on or prior to the issuance of such securities, a lock-up agreement substantially in the form of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Covenants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such Underwriter.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xml:space="preserve"> (a) The Company agrees to indemnify and hold harmless each Underwriter, its affiliates, directors, officers, employees and agents, and each person, if any, who controls any Underwriter within the meaning of either Section 15 of the Securities Act or Section 20 of the Exchange Act and each affiliate of the Underwriters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based upon information relating to any Underwriter furnished to the Company in writing by such Underwriter through the Representatives expressly for use therein, it being understood and agreed that the only such information furnished in writing by the Underwriters through the Representatives consists of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the Underwriters, but only with reference to information relating to any Underwriter furnished to the Company in writing by such Underwriter through the Representatives expressly for use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preliminary prospectus, the Time of Sale Prospectus, any issuer free writing prospectus, road show, the Prospectus or any amendment or supplement thereto, or any Testing the Waters Communication; it being understood and agreed that the only such information furnished in writing by any such Underwriter through the Representatives consists of the following information in the Prospectus (collectively, the “</w:t>
      </w:r>
      <w:r>
        <w:rPr>
          <w:rFonts w:ascii="Times New Roman" w:hAnsi="Times New Roman"/>
          <w:b/>
          <w:sz w:val="20"/>
        </w:rPr>
        <w:t>Underwriter Information</w:t>
      </w:r>
      <w:r>
        <w:rPr>
          <w:rFonts w:ascii="Times New Roman" w:hAnsi="Times New Roman"/>
          <w:sz w:val="20"/>
        </w:rPr>
        <w:t xml:space="preserve">”): the statement set forth in the first sentence under the caption “Underwriting—Price Stabilization; Short Position and Other Transactions” in the Prospectus. </w:t>
      </w:r>
    </w:p>
    <w:p>
      <w:pPr>
        <w:pStyle w:val="TextBody"/>
        <w:bidi w:val="0"/>
        <w:spacing w:before="120" w:after="0"/>
        <w:jc w:val="left"/>
        <w:rPr>
          <w:rFonts w:ascii="Times New Roman" w:hAnsi="Times New Roman"/>
          <w:sz w:val="20"/>
        </w:rPr>
      </w:pPr>
      <w:r>
        <w:rPr>
          <w:rFonts w:ascii="Times New Roman" w:hAnsi="Times New Roman"/>
          <w:sz w:val="20"/>
        </w:rPr>
        <w:t>(c) In case any proceeding (including any governmental investigation) shall be instituted involving any person in respect of which indemnity may be sought pursuant to Section 8(a) or 8(b),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and agreed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(A) such settlement is entered into more than 30 days after receipt by such indemnifying party of the aforesaid request and (B)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Section 8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the Underwriters, the directors, officers, employees and agents of the Underwriters, any person controlling the Underwriters or any affiliate of the Underwriters or by or on behalf of the Company, its officers or directors or any person controlling the Company and (iii) acceptance of and payment for 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The Representatives may terminate this Agreement at their discretion by notice given to the Company, if after the execution and delivery of this Agreement and prior to the Closing Date (a) trading generally shall have been suspended or materially limited on, or by, as the case may be, any of the New York Stock Exchange or the Nasdaq Global Market, (b) trading of any securities of the Company shall have been suspended on any exchange or in any over-the-counter market, (c) a material disruption in securities settlement, payment or clearance services in the United States shall have occurred, (d) any moratorium on commercial banking activities shall have been declared by Federal or New York State authorities or (e) there shall have occurred any outbreak or escalation of hostilities, or any change in financial markets or any calamity or crisis that, in the judgment of the Representatives, is material and adverse and which, singly or together with any other event specified in this clause (e), makes it, in the judgment of the Representatives, impracticable or inadvisable to proceed with the offer, sale or delivery of the Shares on the terms and in the manner contemplated in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Effectiveness; Defaulting Underwriter</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Shares set forth opposite their respective names in Schedule I bears to the aggregate number of Shares set forth opposite the names of all such non-defaulting Underwriters, or in such other proportions as you may specify, to purchase the Shares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Shares and the aggregate number of Shares with respect to which such default occurs is more than one-tenth of the aggregate number of Shares to be purchased on such date, and arrangements satisfactory to you and the Company for the purchase of such Shares are not made within 36 hours after such default, this Agreement shall terminate without liability on the part of any non-defaulting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Representatives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for all out-of-pocket expenses (including the reasonable fees and disbursements of their counsel) reasonably incurred by the Underwriters in connection with this Agreement or the offering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Entire Agreement</w:t>
      </w:r>
      <w:r>
        <w:rPr>
          <w:rFonts w:ascii="Times New Roman" w:hAnsi="Times New Roman"/>
          <w:sz w:val="20"/>
        </w:rPr>
        <w:t xml:space="preserve">. (a) 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acknowledges that in connection with the offering of the Shares, including with respect to the determination of the public offering price of the Shares and any related discounts and commissions: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Recognition of the U.S. Special Resolution Regimes</w:t>
      </w:r>
      <w:r>
        <w:rPr>
          <w:rFonts w:ascii="Times New Roman" w:hAnsi="Times New Roman"/>
          <w:sz w:val="20"/>
        </w:rPr>
        <w:t xml:space="preserve">.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Section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copy of this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Applicable Law</w:t>
      </w:r>
      <w:r>
        <w:rPr>
          <w:rFonts w:ascii="Times New Roman" w:hAnsi="Times New Roman"/>
          <w:sz w:val="20"/>
        </w:rPr>
        <w:t xml:space="preserve">. This Agreement shall be governed by and construed in accordance with the internal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Headings</w:t>
      </w:r>
      <w:r>
        <w:rPr>
          <w:rFonts w:ascii="Times New Roman" w:hAnsi="Times New Roman"/>
          <w:sz w:val="20"/>
        </w:rPr>
        <w:t xml:space="preserve">. The headings of the sections of this Agreement have been inserted for convenience of reference only and shall not be deemed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(including by electronic mail) or transmitted by any standard form of telecommunication and effective only upon receipt. Notices to the Underwriters shall be directed to: Morgan Stanley &amp; Co. LLC, at 1585 Broadway, New York, New York 10036, Attention: Equity Syndicate Desk, with a copy to the Legal Department; and BTIG, LLC at 65 East 55th Street, New York, New York 10022, Attention: Equity Capital Markets ([***]) and Michael Passaro ([***]), with a copy which shall not constitute notice to: General Counsel ([***]); and if to the Company shall be delivered, mailed or sent to Alector, Inc., 131 Oyster Point Blvd, Suite 600, South San Francisco, California 94080, attention: Neil Berkley, email: [***], with a copy to Wilson Sonsini Goodrich &amp; Rosati, P.C., attention: Michael Coke, email: [***].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ALECTOR,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Neil Berkley</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Neil Berkley</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Chief Financial Officer and Chief Business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3"/>
        <w:gridCol w:w="60"/>
        <w:gridCol w:w="3659"/>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as of the date first written above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20"/>
              <w:jc w:val="left"/>
              <w:rPr>
                <w:rFonts w:ascii="Times New Roman" w:hAnsi="Times New Roman"/>
                <w:sz w:val="20"/>
              </w:rPr>
            </w:pPr>
            <w:r>
              <w:rPr>
                <w:rFonts w:ascii="Times New Roman" w:hAnsi="Times New Roman"/>
                <w:sz w:val="20"/>
              </w:rPr>
              <w:t xml:space="preserve">BTIG, LLC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Acting severally on behalf of themselves and the several Underwriters named in Schedule I hereto.</w:t>
            </w:r>
          </w:p>
          <w:p>
            <w:pPr>
              <w:pStyle w:val="TableContents"/>
              <w:bidi w:val="0"/>
              <w:spacing w:before="0" w:after="20"/>
              <w:jc w:val="left"/>
              <w:rPr/>
            </w:pPr>
            <w:r>
              <w:rPr/>
              <w:t> </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MORGAN STANLEY &amp; CO. LLC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tcBorders>
              <w:bottom w:val="single" w:sz="2" w:space="0" w:color="000000"/>
            </w:tcBorders>
            <w:tcMar>
              <w:bottom w:w="28" w:type="dxa"/>
            </w:tcMar>
          </w:tcPr>
          <w:p>
            <w:pPr>
              <w:pStyle w:val="TableContents"/>
              <w:bidi w:val="0"/>
              <w:spacing w:before="0" w:after="283"/>
              <w:jc w:val="left"/>
              <w:rPr/>
            </w:pPr>
            <w:r>
              <w:rPr/>
              <w:t>/s/ Kalli Dircks</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Name: Kalli Dircks</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BTIG, LLC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Michael Passaro</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Michael Passaro</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0"/>
        <w:gridCol w:w="542"/>
        <w:gridCol w:w="115"/>
        <w:gridCol w:w="2146"/>
        <w:gridCol w:w="62"/>
      </w:tblGrid>
      <w:tr>
        <w:trPr/>
        <w:tc>
          <w:tcPr>
            <w:tcW w:w="7340" w:type="dxa"/>
            <w:tcBorders/>
            <w:vAlign w:val="center"/>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3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542" w:type="dxa"/>
            <w:tcBorders/>
            <w:vAlign w:val="bottom"/>
          </w:tcPr>
          <w:p>
            <w:pPr>
              <w:pStyle w:val="TableContents"/>
              <w:bidi w:val="0"/>
              <w:spacing w:before="0" w:after="283"/>
              <w:jc w:val="left"/>
              <w:rPr/>
            </w:pPr>
            <w:r>
              <w:rPr/>
              <w:t>  </w:t>
            </w:r>
          </w:p>
        </w:tc>
        <w:tc>
          <w:tcPr>
            <w:tcW w:w="2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To</w:t>
              <w:br/>
              <w:t>Be Purchased</w:t>
            </w:r>
          </w:p>
        </w:tc>
        <w:tc>
          <w:tcPr>
            <w:tcW w:w="62" w:type="dxa"/>
            <w:tcBorders/>
            <w:vAlign w:val="bottom"/>
          </w:tcPr>
          <w:p>
            <w:pPr>
              <w:pStyle w:val="TableContents"/>
              <w:bidi w:val="0"/>
              <w:spacing w:before="0" w:after="283"/>
              <w:jc w:val="left"/>
              <w:rPr/>
            </w:pPr>
            <w:r>
              <w:rPr/>
              <w:t> </w:t>
            </w:r>
          </w:p>
        </w:tc>
      </w:tr>
      <w:tr>
        <w:trPr/>
        <w:tc>
          <w:tcPr>
            <w:tcW w:w="7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54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46" w:type="dxa"/>
            <w:tcBorders/>
            <w:shd w:fill="CCEEFF" w:val="clear"/>
            <w:vAlign w:val="bottom"/>
          </w:tcPr>
          <w:p>
            <w:pPr>
              <w:pStyle w:val="TableContents"/>
              <w:bidi w:val="0"/>
              <w:spacing w:before="0" w:after="283"/>
              <w:jc w:val="right"/>
              <w:rPr/>
            </w:pPr>
            <w:r>
              <w:rPr/>
              <w:t>18,300,000</w:t>
            </w:r>
          </w:p>
        </w:tc>
        <w:tc>
          <w:tcPr>
            <w:tcW w:w="62" w:type="dxa"/>
            <w:tcBorders/>
            <w:shd w:fill="CCEEFF" w:val="clear"/>
            <w:vAlign w:val="bottom"/>
          </w:tcPr>
          <w:p>
            <w:pPr>
              <w:pStyle w:val="TableContents"/>
              <w:bidi w:val="0"/>
              <w:spacing w:before="0" w:after="283"/>
              <w:jc w:val="left"/>
              <w:rPr/>
            </w:pPr>
            <w:r>
              <w:rPr/>
              <w:t> </w:t>
            </w:r>
          </w:p>
        </w:tc>
      </w:tr>
      <w:tr>
        <w:trPr/>
        <w:tc>
          <w:tcPr>
            <w:tcW w:w="7340"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214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340" w:type="dxa"/>
            <w:tcBorders/>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54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146" w:type="dxa"/>
            <w:tcBorders/>
            <w:vAlign w:val="bottom"/>
          </w:tcPr>
          <w:p>
            <w:pPr>
              <w:pStyle w:val="TableContents"/>
              <w:bidi w:val="0"/>
              <w:spacing w:before="0" w:after="283"/>
              <w:jc w:val="right"/>
              <w:rPr/>
            </w:pPr>
            <w:r>
              <w:rPr/>
              <w:t>18,300,000</w:t>
            </w:r>
          </w:p>
        </w:tc>
        <w:tc>
          <w:tcPr>
            <w:tcW w:w="62" w:type="dxa"/>
            <w:tcBorders/>
            <w:vAlign w:val="bottom"/>
          </w:tcPr>
          <w:p>
            <w:pPr>
              <w:pStyle w:val="TableContents"/>
              <w:bidi w:val="0"/>
              <w:spacing w:before="0" w:after="283"/>
              <w:jc w:val="left"/>
              <w:rPr/>
            </w:pPr>
            <w:r>
              <w:rPr/>
              <w:t> </w:t>
            </w:r>
          </w:p>
        </w:tc>
      </w:tr>
      <w:tr>
        <w:trPr/>
        <w:tc>
          <w:tcPr>
            <w:tcW w:w="7340"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214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4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146" w:type="dxa"/>
            <w:tcBorders/>
            <w:shd w:fill="CCEEFF" w:val="clear"/>
            <w:vAlign w:val="bottom"/>
          </w:tcPr>
          <w:p>
            <w:pPr>
              <w:pStyle w:val="TableContents"/>
              <w:bidi w:val="0"/>
              <w:spacing w:before="0" w:after="283"/>
              <w:jc w:val="right"/>
              <w:rPr/>
            </w:pPr>
            <w:r>
              <w:rPr/>
              <w:t>36,600,000</w:t>
            </w:r>
          </w:p>
        </w:tc>
        <w:tc>
          <w:tcPr>
            <w:tcW w:w="62" w:type="dxa"/>
            <w:tcBorders/>
            <w:shd w:fill="CCEEFF" w:val="clear"/>
            <w:vAlign w:val="bottom"/>
          </w:tcPr>
          <w:p>
            <w:pPr>
              <w:pStyle w:val="TableContents"/>
              <w:bidi w:val="0"/>
              <w:spacing w:before="0" w:after="283"/>
              <w:jc w:val="left"/>
              <w:rPr/>
            </w:pPr>
            <w:r>
              <w:rPr/>
              <w:t> </w:t>
            </w:r>
          </w:p>
        </w:tc>
      </w:tr>
      <w:tr>
        <w:trPr/>
        <w:tc>
          <w:tcPr>
            <w:tcW w:w="7340"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214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240" w:after="0"/>
        <w:jc w:val="center"/>
        <w:rPr>
          <w:rFonts w:ascii="Times New Roman" w:hAnsi="Times New Roman"/>
          <w:b/>
          <w:sz w:val="20"/>
        </w:rPr>
      </w:pPr>
      <w:r>
        <w:rPr>
          <w:rFonts w:ascii="Times New Roman" w:hAnsi="Times New Roman"/>
          <w:b/>
          <w:sz w:val="20"/>
        </w:rPr>
        <w:t xml:space="preserve">Time of Sale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0"/>
        <w:gridCol w:w="9089"/>
      </w:tblGrid>
      <w:tr>
        <w:trPr/>
        <w:tc>
          <w:tcPr>
            <w:tcW w:w="506"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1.</w:t>
            </w:r>
          </w:p>
        </w:tc>
        <w:tc>
          <w:tcPr>
            <w:tcW w:w="90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prospectus: None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0"/>
        <w:gridCol w:w="9089"/>
      </w:tblGrid>
      <w:tr>
        <w:trPr/>
        <w:tc>
          <w:tcPr>
            <w:tcW w:w="506"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2.</w:t>
            </w:r>
          </w:p>
        </w:tc>
        <w:tc>
          <w:tcPr>
            <w:tcW w:w="90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Writing Prospectus: Pricing Press Release dated October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information: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99"/>
        <w:gridCol w:w="718"/>
        <w:gridCol w:w="140"/>
        <w:gridCol w:w="1120"/>
        <w:gridCol w:w="62"/>
      </w:tblGrid>
      <w:tr>
        <w:trPr/>
        <w:tc>
          <w:tcPr>
            <w:tcW w:w="4899" w:type="dxa"/>
            <w:tcBorders/>
            <w:vAlign w:val="center"/>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w:t>
            </w:r>
          </w:p>
        </w:tc>
        <w:tc>
          <w:tcPr>
            <w:tcW w:w="7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36,600,000</w:t>
            </w:r>
          </w:p>
        </w:tc>
        <w:tc>
          <w:tcPr>
            <w:tcW w:w="62"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7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2.05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III </w:t>
      </w:r>
    </w:p>
    <w:p>
      <w:pPr>
        <w:pStyle w:val="TextBody"/>
        <w:bidi w:val="0"/>
        <w:spacing w:before="240" w:after="0"/>
        <w:jc w:val="center"/>
        <w:rPr>
          <w:rFonts w:ascii="Times New Roman" w:hAnsi="Times New Roman"/>
          <w:b/>
          <w:sz w:val="20"/>
        </w:rPr>
      </w:pPr>
      <w:r>
        <w:rPr>
          <w:rFonts w:ascii="Times New Roman" w:hAnsi="Times New Roman"/>
          <w:b/>
          <w:sz w:val="20"/>
        </w:rPr>
        <w:t xml:space="preserve">Written Testing the 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LETTER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BTIG, LLC </w:t>
      </w:r>
    </w:p>
    <w:p>
      <w:pPr>
        <w:pStyle w:val="TextBody"/>
        <w:bidi w:val="0"/>
        <w:spacing w:before="240" w:after="0"/>
        <w:jc w:val="left"/>
        <w:rPr/>
      </w:pPr>
      <w:r>
        <w:rPr/>
        <w:t>  </w:t>
      </w: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pPr>
      <w:r>
        <w:rPr/>
        <w:t>  </w:t>
      </w:r>
      <w:r>
        <w:rPr>
          <w:rFonts w:ascii="Times New Roman" w:hAnsi="Times New Roman"/>
          <w:sz w:val="20"/>
        </w:rPr>
        <w:t xml:space="preserve">1585 Broadway </w:t>
      </w:r>
    </w:p>
    <w:p>
      <w:pPr>
        <w:pStyle w:val="TextBody"/>
        <w:bidi w:val="0"/>
        <w:spacing w:before="0" w:after="0"/>
        <w:jc w:val="left"/>
        <w:rPr/>
      </w:pPr>
      <w:r>
        <w:rPr/>
        <w:t>  </w:t>
      </w: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BTIG, LLC </w:t>
      </w:r>
    </w:p>
    <w:p>
      <w:pPr>
        <w:pStyle w:val="TextBody"/>
        <w:bidi w:val="0"/>
        <w:spacing w:before="0" w:after="0"/>
        <w:jc w:val="left"/>
        <w:rPr/>
      </w:pPr>
      <w:r>
        <w:rPr/>
        <w:t>  </w:t>
      </w:r>
      <w:r>
        <w:rPr>
          <w:rFonts w:ascii="Times New Roman" w:hAnsi="Times New Roman"/>
          <w:sz w:val="20"/>
        </w:rPr>
        <w:t xml:space="preserve">65 East 55th Street </w:t>
      </w:r>
    </w:p>
    <w:p>
      <w:pPr>
        <w:pStyle w:val="TextBody"/>
        <w:bidi w:val="0"/>
        <w:spacing w:before="0" w:after="0"/>
        <w:jc w:val="left"/>
        <w:rPr/>
      </w:pPr>
      <w:r>
        <w:rPr/>
        <w:t>  </w:t>
      </w: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Morgan Stanley &amp; Co. LLC and BTIG, LLC (the “</w:t>
      </w:r>
      <w:r>
        <w:rPr>
          <w:rFonts w:ascii="Times New Roman" w:hAnsi="Times New Roman"/>
          <w:b/>
          <w:sz w:val="20"/>
        </w:rPr>
        <w:t>Representatives</w:t>
      </w:r>
      <w:r>
        <w:rPr>
          <w:rFonts w:ascii="Times New Roman" w:hAnsi="Times New Roman"/>
          <w:sz w:val="20"/>
        </w:rPr>
        <w:t>) propose to enter into an Underwriting Agreement (the “</w:t>
      </w:r>
      <w:r>
        <w:rPr>
          <w:rFonts w:ascii="Times New Roman" w:hAnsi="Times New Roman"/>
          <w:b/>
          <w:sz w:val="20"/>
        </w:rPr>
        <w:t>Underwriting Agreement</w:t>
      </w:r>
      <w:r>
        <w:rPr>
          <w:rFonts w:ascii="Times New Roman" w:hAnsi="Times New Roman"/>
          <w:sz w:val="20"/>
        </w:rPr>
        <w:t>”), on behalf of the several underwriters (the “</w:t>
      </w:r>
      <w:r>
        <w:rPr>
          <w:rFonts w:ascii="Times New Roman" w:hAnsi="Times New Roman"/>
          <w:b/>
          <w:sz w:val="20"/>
        </w:rPr>
        <w:t>Underwriters</w:t>
      </w:r>
      <w:r>
        <w:rPr>
          <w:rFonts w:ascii="Times New Roman" w:hAnsi="Times New Roman"/>
          <w:sz w:val="20"/>
        </w:rPr>
        <w:t>”) with Alector, Inc., a Delaware corporation (the “</w:t>
      </w:r>
      <w:r>
        <w:rPr>
          <w:rFonts w:ascii="Times New Roman" w:hAnsi="Times New Roman"/>
          <w:b/>
          <w:sz w:val="20"/>
        </w:rPr>
        <w:t>Company</w:t>
      </w:r>
      <w:r>
        <w:rPr>
          <w:rFonts w:ascii="Times New Roman" w:hAnsi="Times New Roman"/>
          <w:sz w:val="20"/>
        </w:rPr>
        <w:t>”), providing for the public offering (the “</w:t>
      </w:r>
      <w:r>
        <w:rPr>
          <w:rFonts w:ascii="Times New Roman" w:hAnsi="Times New Roman"/>
          <w:b/>
          <w:sz w:val="20"/>
        </w:rPr>
        <w:t>Public Offering</w:t>
      </w:r>
      <w:r>
        <w:rPr>
          <w:rFonts w:ascii="Times New Roman" w:hAnsi="Times New Roman"/>
          <w:sz w:val="20"/>
        </w:rPr>
        <w:t>”) by the several Underwriters of shares (the “</w:t>
      </w:r>
      <w:r>
        <w:rPr>
          <w:rFonts w:ascii="Times New Roman" w:hAnsi="Times New Roman"/>
          <w:b/>
          <w:sz w:val="20"/>
        </w:rPr>
        <w:t>Shares</w:t>
      </w:r>
      <w:r>
        <w:rPr>
          <w:rFonts w:ascii="Times New Roman" w:hAnsi="Times New Roman"/>
          <w:sz w:val="20"/>
        </w:rPr>
        <w:t>”) of common stock, par value $0.0001 per share, of the Company (the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induce the Underwriters that may participate in the Public Offering to continue its efforts in connection with the Public Offering, the undersigned hereby agrees that, without the prior written consent of the Representatives, it will not, during the period commencing on the date hereof and ending on and including the 30th day after the date of the final prospectus (the “</w:t>
      </w:r>
      <w:r>
        <w:rPr>
          <w:rFonts w:ascii="Times New Roman" w:hAnsi="Times New Roman"/>
          <w:b/>
          <w:sz w:val="20"/>
        </w:rPr>
        <w:t>Restricted Period</w:t>
      </w:r>
      <w:r>
        <w:rPr>
          <w:rFonts w:ascii="Times New Roman" w:hAnsi="Times New Roman"/>
          <w:sz w:val="20"/>
        </w:rPr>
        <w:t>”) relating to the Public Offering (the “</w:t>
      </w:r>
      <w:r>
        <w:rPr>
          <w:rFonts w:ascii="Times New Roman" w:hAnsi="Times New Roman"/>
          <w:b/>
          <w:sz w:val="20"/>
        </w:rPr>
        <w:t>Prospectus</w:t>
      </w:r>
      <w:r>
        <w:rPr>
          <w:rFonts w:ascii="Times New Roman" w:hAnsi="Times New Roman"/>
          <w:sz w:val="20"/>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hAnsi="Times New Roman"/>
          <w:b/>
          <w:sz w:val="20"/>
        </w:rPr>
        <w:t>Exchange Act</w:t>
      </w:r>
      <w:r>
        <w:rPr>
          <w:rFonts w:ascii="Times New Roman" w:hAnsi="Times New Roman"/>
          <w:sz w:val="20"/>
        </w:rPr>
        <w:t xml:space="preserve">”)), by the undersigned or any other securities so owned convertible into or exercisable or exchangeable for Common Stock,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make any public announcement or filing with the Securities and Exchange Commission relating to any proposed transaction described in clause (1) or (2) above or intent to engage in any such transaction. The foregoing sentence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transactions relating to shares of Common Stock or other securities acquired in the Public Offering or open market transactions on or after the completion of the Public Offering, </w:t>
      </w:r>
      <w:r>
        <w:rPr>
          <w:rFonts w:ascii="Times New Roman" w:hAnsi="Times New Roman"/>
          <w:i/>
          <w:sz w:val="20"/>
        </w:rPr>
        <w:t>provided, however,</w:t>
      </w:r>
      <w:r>
        <w:rPr>
          <w:rFonts w:ascii="Times New Roman" w:hAnsi="Times New Roman"/>
          <w:sz w:val="20"/>
        </w:rPr>
        <w:t xml:space="preserve"> that no filing under Section 16(a) of the Exchange Act shall be required or shall be voluntarily made during the Restricted Period in connection with subsequent sales of Common Stock or other securities acquired in such open market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transfer of shares of Common Stock or other securities convertible into Common Stock (i) to the spouse, domestic partner, parent, child or grandchild of the undersigned or any other person with whom the undersigned has a relationship by blood, marriage or adoption not more remote than first cousin (each, an “</w:t>
      </w:r>
      <w:r>
        <w:rPr>
          <w:rFonts w:ascii="Times New Roman" w:hAnsi="Times New Roman"/>
          <w:b/>
          <w:sz w:val="20"/>
        </w:rPr>
        <w:t>immediate family member</w:t>
      </w:r>
      <w:r>
        <w:rPr>
          <w:rFonts w:ascii="Times New Roman" w:hAnsi="Times New Roman"/>
          <w:sz w:val="20"/>
        </w:rPr>
        <w:t>”) or to a trust or other entity formed for estate planning purposes for the direct or indirect benefit of the undersigned or an immediate family member, (ii) by bona fide gift, (iii) by will or intestacy, (iv) if the undersigned is a trust, to a trustor or beneficiary of the trust or to the estate of a beneficiary of such trust or (v) by bona fide gift to a charitable organization, as such term is described in Section 501(c)(3) of the Internal Revenue Code of 1986, as amended, by the undersigned (a “</w:t>
      </w:r>
      <w:r>
        <w:rPr>
          <w:rFonts w:ascii="Times New Roman" w:hAnsi="Times New Roman"/>
          <w:b/>
          <w:sz w:val="20"/>
        </w:rPr>
        <w:t>Permitted Donation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filing under Section 16(a) of the Exchange Act or other public filing, report or announcement reporting a reduction in beneficial ownership of shares of Common Stock or other securities convertible into Common Stock shall be required or shall be voluntarily made during the Restricted Period (other than any required Form 4 or Form 5 filing, including, but not limited to, any filing made in connection with a Permitted Donation); and </w:t>
      </w:r>
      <w:r>
        <w:rPr>
          <w:rFonts w:ascii="Times New Roman" w:hAnsi="Times New Roman"/>
          <w:i/>
          <w:sz w:val="20"/>
        </w:rPr>
        <w:t>provided</w:t>
      </w:r>
      <w:r>
        <w:rPr>
          <w:rFonts w:ascii="Times New Roman" w:hAnsi="Times New Roman"/>
          <w:sz w:val="20"/>
        </w:rPr>
        <w:t xml:space="preserve"> further, that in the case of any transfer or distribution pursuant to clause (ii) or (v), any such required filing shall clearly indicate in the footnotes thereto that the filing relates to circumstances described in such a clause; </w:t>
      </w:r>
    </w:p>
    <w:p>
      <w:pPr>
        <w:pStyle w:val="TextBody"/>
        <w:bidi w:val="0"/>
        <w:spacing w:before="240" w:after="0"/>
        <w:jc w:val="left"/>
        <w:rPr>
          <w:rFonts w:ascii="Times New Roman" w:hAnsi="Times New Roman"/>
          <w:sz w:val="20"/>
        </w:rPr>
      </w:pPr>
      <w:r>
        <w:rPr>
          <w:rFonts w:ascii="Times New Roman" w:hAnsi="Times New Roman"/>
          <w:sz w:val="20"/>
        </w:rPr>
        <w:t xml:space="preserve">(c) if the undersigned is a corporation, partnership, limited liability company, trust or other business entity, the transfer of the shares of Common Stock or other securities convertible into Common Stock (i) to another corporation, partnership, limited liability company, trust or other business entity that controls, is controlled by, manages or is managed by or is under common control with the undersigned or affiliates of the undersigned (including, for the avoidance of doubt, where the undersigned is a partnership, to its general partner or a successor partnership or fund, or any other funds managed by such partnership) or (ii) as part of a disposition, transfer or distribution by the undersigned to its stockholders, partners, members or other equity holders; </w:t>
      </w:r>
      <w:r>
        <w:rPr>
          <w:rFonts w:ascii="Times New Roman" w:hAnsi="Times New Roman"/>
          <w:i/>
          <w:sz w:val="20"/>
        </w:rPr>
        <w:t>provided</w:t>
      </w:r>
      <w:r>
        <w:rPr>
          <w:rFonts w:ascii="Times New Roman" w:hAnsi="Times New Roman"/>
          <w:sz w:val="20"/>
        </w:rPr>
        <w:t xml:space="preserve"> that no filing under Section 16(a) of the Exchange Act or other public filing, report or announcement reporting a reduction in beneficial ownership of shares of Common Stock or other securities convertible into Common Stock shall be required or shall be voluntarily made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(d) (i) the receipt by the undersigned from the Company of shares of Common Stock upon the exercise of options or the settlement of restricted stock units granted under a stock incentive plan or other equity award plan, which plan is described in the registration statement related to the Public Offering and the Prospectus, insofar as such option or restricted stock unit is outstanding as of the date of the Prospectus, (ii) the transfer of shares of Common Stock or any securities convertible into Common Stock to the Company upon a vesting event of the Company’s securities, the settlement of restricted stock units, or the exercise of options to purchase the Company’s securities on a “cashless” or “net exercise” basis to the extent permitted by the instruments representing such options, restricted stock units (and any transfer to the Company necessary to generate such amount of cash needed for the payment of taxes, including estimated taxes, due as a result of such vesting, settlement or exercise whether by means of a “net settlement” or otherwise) so long as such “cashless exercise” or “net exercise” is effected solely by the surrender of outstanding options or restricted stock units (or the Common Stock issuable upon the exercise or settlement thereof) to the Company and the Company’s cancellation of all or a portion thereof to pay the exercise price and/or withholding tax and remittance obligations or (iii) any “sell-to-cover” transaction involving a sale of shares of Common Stock in connection with the vesting or settlement of restricted stock units granted under a stock incentive plan or other equity award plan, which plan is described in the registration statement related to the Public Offering and the Prospectus, for the payment of tax withholdings or remittance payments due as a result of the vesting or settlement of such restricted stock units, </w:t>
      </w:r>
      <w:r>
        <w:rPr>
          <w:rFonts w:ascii="Times New Roman" w:hAnsi="Times New Roman"/>
          <w:i/>
          <w:sz w:val="20"/>
        </w:rPr>
        <w:t>provided</w:t>
      </w:r>
      <w:r>
        <w:rPr>
          <w:rFonts w:ascii="Times New Roman" w:hAnsi="Times New Roman"/>
          <w:sz w:val="20"/>
        </w:rPr>
        <w:t xml:space="preserve"> that in the case of either (i), (ii) or (iii), (A) no filing under Section 16(a) of the Exchange Act or other public announcement or filing shall be voluntarily made during the Restricted Period and (B) the underlying shares issued to the undersigned upon such exercise shall continue to be subject to the terms of this letter;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the purpose of clauses (i), (ii) and (iii), filings under Section 16(a) of the Exchange Act shall be permissible if such filings are required and relate solely to “net”, “cashless” or “sell-to-cover” exercises or settlements of stock options, restricted stock units or other equity awards that would otherwise expire during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Restricted Period and any such filing include a statement to the effect that such transfer is being made in connection with a “net”, “cashless” or “sell-to-cover” exercise or settlement of stock options, restricted stock units or other equity awards, and the undersigned provides written notice to the Representatives at least one business day prior to making any such filings; </w:t>
      </w:r>
    </w:p>
    <w:p>
      <w:pPr>
        <w:pStyle w:val="TextBody"/>
        <w:bidi w:val="0"/>
        <w:spacing w:before="240" w:after="0"/>
        <w:jc w:val="left"/>
        <w:rPr>
          <w:rFonts w:ascii="Times New Roman" w:hAnsi="Times New Roman"/>
          <w:sz w:val="20"/>
        </w:rPr>
      </w:pPr>
      <w:r>
        <w:rPr>
          <w:rFonts w:ascii="Times New Roman" w:hAnsi="Times New Roman"/>
          <w:sz w:val="20"/>
        </w:rPr>
        <w:t xml:space="preserve">(e) the establishment of a trading plan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 the transfer of shares of Common Stock or other securities convertible into Common Stock to the Company pursuant to agreements under which the Company or any of its respective equity holders has the option to repurchase such shares of Common Stock or other securities upon termination of service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(g) the transfer of shares of Common Stock or other securities convertible into Common Stock pursuant to a bona fide third party tender offer, merger, consolidation or other similar transaction made to all holders of capital stock of the Company involving a “change of control” (as defined below) of the Company after the completion of the Public Offering that has been approved by the board of directors of the Company; </w:t>
      </w:r>
      <w:r>
        <w:rPr>
          <w:rFonts w:ascii="Times New Roman" w:hAnsi="Times New Roman"/>
          <w:i/>
          <w:sz w:val="20"/>
        </w:rPr>
        <w:t>provided</w:t>
      </w:r>
      <w:r>
        <w:rPr>
          <w:rFonts w:ascii="Times New Roman" w:hAnsi="Times New Roman"/>
          <w:sz w:val="20"/>
        </w:rPr>
        <w:t xml:space="preserve"> that in the event that the tender offer, merger, consolidation or other such transaction is not completed, the Undersigned’s shares of Common Stock or other securities shall remain subject to the terms of this letter; </w:t>
      </w:r>
    </w:p>
    <w:p>
      <w:pPr>
        <w:pStyle w:val="TextBody"/>
        <w:bidi w:val="0"/>
        <w:spacing w:before="240" w:after="0"/>
        <w:jc w:val="left"/>
        <w:rPr>
          <w:rFonts w:ascii="Times New Roman" w:hAnsi="Times New Roman"/>
          <w:sz w:val="20"/>
        </w:rPr>
      </w:pPr>
      <w:r>
        <w:rPr>
          <w:rFonts w:ascii="Times New Roman" w:hAnsi="Times New Roman"/>
          <w:sz w:val="20"/>
        </w:rPr>
        <w:t xml:space="preserve">(h) the transfer of shares of Common Stock or other securities convertible into Common Stock that occurs pursuant to a domestic order or in connection with a divorce settlement; or </w:t>
      </w:r>
    </w:p>
    <w:p>
      <w:pPr>
        <w:pStyle w:val="TextBody"/>
        <w:bidi w:val="0"/>
        <w:spacing w:before="240" w:after="0"/>
        <w:jc w:val="left"/>
        <w:rPr>
          <w:rFonts w:ascii="Times New Roman" w:hAnsi="Times New Roman"/>
          <w:sz w:val="20"/>
        </w:rPr>
      </w:pPr>
      <w:r>
        <w:rPr>
          <w:rFonts w:ascii="Times New Roman" w:hAnsi="Times New Roman"/>
          <w:sz w:val="20"/>
        </w:rPr>
        <w:t xml:space="preserve">(i) sale of shares of Common Stock under a trading plan pursuant to Rule 10b5-1 under the Exchange Act that is existing as of the date hereof and has been disclosed to the Underwriters, </w:t>
      </w:r>
      <w:r>
        <w:rPr>
          <w:rFonts w:ascii="Times New Roman" w:hAnsi="Times New Roman"/>
          <w:i/>
          <w:sz w:val="20"/>
        </w:rPr>
        <w:t>provided</w:t>
      </w:r>
      <w:r>
        <w:rPr>
          <w:rFonts w:ascii="Times New Roman" w:hAnsi="Times New Roman"/>
          <w:sz w:val="20"/>
        </w:rPr>
        <w:t xml:space="preserve"> that any filing required by the Exchange Act that is made in connection with any such sales during the Restricted Period shall state that such sales have been executed pursuant to such trading plan.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(A) in the case of (b), (c) and (h) above, it shall be a condition to the transfer or distribution that the donee, transferee or distributee, as the case may be, agrees in writing to be bound by the restrictions set forth herein, (B) in the case of (b) and (c) above, such transfer or distribution shall not involve a disposition for value, (C) in the case of (f) and (h) above, no filing under Section 16(a) of the Exchange Act or other public filing, report or announcement reporting a reduction in beneficial ownership of shares of Common Stock or other securities convertible into Common Stock shall be voluntarily made during the Restricted Period, and (D) in the case of clause (f) and (h) above, if the undersigned is required to file a report under Section 16(a) of the Exchange Act during the Restricted Period, the undersigned shall include a statement in such report to the effect that such transfer is to the Company in connection with the repurchase of shares of Common Stock or other securities convertible into Common Stock or pursuant to a qualified domestic order or in connection with a divorce settlement, as the case may be. </w:t>
      </w:r>
    </w:p>
    <w:p>
      <w:pPr>
        <w:pStyle w:val="TextBody"/>
        <w:bidi w:val="0"/>
        <w:spacing w:before="240" w:after="0"/>
        <w:jc w:val="left"/>
        <w:rPr>
          <w:rFonts w:ascii="Times New Roman" w:hAnsi="Times New Roman"/>
          <w:sz w:val="20"/>
        </w:rPr>
      </w:pPr>
      <w:r>
        <w:rPr>
          <w:rFonts w:ascii="Times New Roman" w:hAnsi="Times New Roman"/>
          <w:sz w:val="20"/>
        </w:rPr>
        <w:t>For purposes of clause (g) above, “</w:t>
      </w:r>
      <w:r>
        <w:rPr>
          <w:rFonts w:ascii="Times New Roman" w:hAnsi="Times New Roman"/>
          <w:b/>
          <w:sz w:val="20"/>
        </w:rPr>
        <w:t>change of control</w:t>
      </w:r>
      <w:r>
        <w:rPr>
          <w:rFonts w:ascii="Times New Roman" w:hAnsi="Times New Roman"/>
          <w:sz w:val="20"/>
        </w:rPr>
        <w:t xml:space="preserve">”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undersigned agrees that, without the prior written consent of the Representatives,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Representatives are relying upon this agreement in proceeding toward consummation of the Public Offering. The undersigned further understands that this agreement is irrevocable and shall be binding upon the undersigned’s heirs, legal representatives, successors and assigns. The undersigned hereby represents and warrants that the undersigned has full power and authority to enter into this letter. Notwithstanding anything to the contrary contained herein, this letter will automatically terminate and the undersigned will be released from all obligations hereunder upon the earliest to occur, if any, of (i) the date on which the Company advises the Representatives in writing, prior to the execution of the Underwriting Agreement, that they have determined not to proceed with the Public Offering, (ii) the Underwriting Agreement is executed but is terminated (other than the provisions thereof which survive termination) prior to payment for and delivery of the shares of Common Stock to be sold thereunder, or (iii) November 30, 2026 in the event that the Underwriting Agreement has not been executed by such date; provided, however, that the Company may, by written notice to the undersigned prior to such date, extend such date for a period of up to three additional months. This letter shall not be amended without the prior written consent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consents to receipt of this letter in electronic form and understands and agrees that this letter may be signed electronically. In the event that any signature is delivered by facsimile transmission, electronic mail, or otherwise by electronic transmission evidencing an intent to sign this letter, such facsimile transmission, electronic mail or other electronic transmission shall create a valid and binding obligation of the undersigned with the same force and effect as if such signature were an original. Execution and delivery of this letter by facsimile transmission, electronic mail or other electronic transmission is legal, valid and binding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delivered via facsimile, electronic mail (including any electronic signature complying with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and any claim, controversy or dispute arising under or related to this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1"/>
        <w:gridCol w:w="3982"/>
        <w:gridCol w:w="101"/>
        <w:gridCol w:w="408"/>
        <w:gridCol w:w="101"/>
        <w:gridCol w:w="715"/>
        <w:gridCol w:w="101"/>
        <w:gridCol w:w="3982"/>
      </w:tblGrid>
      <w:tr>
        <w:trPr/>
        <w:tc>
          <w:tcPr>
            <w:tcW w:w="71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tcPr>
          <w:p>
            <w:pPr>
              <w:pStyle w:val="TableContents"/>
              <w:bidi w:val="0"/>
              <w:spacing w:before="0" w:after="283"/>
              <w:jc w:val="left"/>
              <w:rPr>
                <w:b/>
              </w:rPr>
            </w:pPr>
            <w:r>
              <w:rPr>
                <w:b/>
              </w:rPr>
              <w:t>IF AN INDIVIDUAL:</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gridSpan w:val="3"/>
            <w:tcBorders/>
          </w:tcPr>
          <w:p>
            <w:pPr>
              <w:pStyle w:val="TableContents"/>
              <w:bidi w:val="0"/>
              <w:spacing w:before="0" w:after="283"/>
              <w:jc w:val="left"/>
              <w:rPr>
                <w:b/>
              </w:rPr>
            </w:pPr>
            <w:r>
              <w:rPr>
                <w:b/>
              </w:rPr>
              <w:t>IF AN ENTITY:</w:t>
            </w:r>
          </w:p>
        </w:tc>
      </w:tr>
      <w:tr>
        <w:trPr>
          <w:trHeight w:val="240" w:hRule="atLeast"/>
        </w:trPr>
        <w:tc>
          <w:tcPr>
            <w:tcW w:w="4797" w:type="dxa"/>
            <w:gridSpan w:val="3"/>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4"/>
            <w:tcBorders/>
            <w:vAlign w:val="center"/>
          </w:tcPr>
          <w:p>
            <w:pPr>
              <w:pStyle w:val="TableContents"/>
              <w:bidi w:val="0"/>
              <w:spacing w:before="0" w:after="283"/>
              <w:jc w:val="left"/>
              <w:rPr>
                <w:sz w:val="4"/>
                <w:szCs w:val="4"/>
              </w:rPr>
            </w:pPr>
            <w:r>
              <w:rPr>
                <w:sz w:val="4"/>
                <w:szCs w:val="4"/>
              </w:rPr>
            </w:r>
          </w:p>
        </w:tc>
      </w:tr>
      <w:tr>
        <w:trPr/>
        <w:tc>
          <w:tcPr>
            <w:tcW w:w="4797" w:type="dxa"/>
            <w:gridSpan w:val="3"/>
            <w:tcBorders>
              <w:bottom w:val="single" w:sz="2" w:space="0" w:color="000000"/>
            </w:tcBorders>
            <w:tcMar>
              <w:bottom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center"/>
              <w:rPr>
                <w:i/>
              </w:rPr>
            </w:pPr>
            <w:r>
              <w:rPr>
                <w:i/>
              </w:rPr>
              <w:t>(duly authorized signature)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left"/>
              <w:rPr>
                <w:i/>
              </w:rPr>
            </w:pPr>
            <w:r>
              <w:rPr>
                <w:i/>
              </w:rPr>
              <w:t>(please print complete name of entity)</w:t>
            </w:r>
          </w:p>
        </w:tc>
      </w:tr>
      <w:tr>
        <w:trPr>
          <w:trHeight w:val="240" w:hRule="atLeast"/>
        </w:trPr>
        <w:tc>
          <w:tcPr>
            <w:tcW w:w="714" w:type="dxa"/>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Name: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982" w:type="dxa"/>
            <w:tcBorders>
              <w:bottom w:val="single" w:sz="2" w:space="0" w:color="000000"/>
            </w:tcBorders>
            <w:tcMar>
              <w:bottom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982" w:type="dxa"/>
            <w:tcBorders>
              <w:bottom w:val="single" w:sz="2" w:space="0" w:color="000000"/>
            </w:tcBorders>
            <w:tcMar>
              <w:bottom w:w="28" w:type="dxa"/>
            </w:tcMar>
          </w:tcPr>
          <w:p>
            <w:pPr>
              <w:pStyle w:val="TableContents"/>
              <w:bidi w:val="0"/>
              <w:spacing w:before="0" w:after="283"/>
              <w:jc w:val="left"/>
              <w:rPr/>
            </w:pPr>
            <w:r>
              <w:rPr/>
              <w:t> </w:t>
            </w:r>
          </w:p>
        </w:tc>
      </w:tr>
      <w:tr>
        <w:trPr/>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center"/>
              <w:rPr>
                <w:i/>
              </w:rPr>
            </w:pPr>
            <w:r>
              <w:rPr>
                <w:i/>
              </w:rPr>
              <w:t>(please print full name)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center"/>
              <w:rPr>
                <w:i/>
              </w:rPr>
            </w:pPr>
            <w:r>
              <w:rPr>
                <w:i/>
              </w:rPr>
              <w:t>(duly authorized signature)</w:t>
            </w:r>
          </w:p>
        </w:tc>
      </w:tr>
      <w:tr>
        <w:trPr>
          <w:trHeight w:val="240" w:hRule="atLeast"/>
        </w:trPr>
        <w:tc>
          <w:tcPr>
            <w:tcW w:w="714" w:type="dxa"/>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Name: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982" w:type="dxa"/>
            <w:tcBorders>
              <w:bottom w:val="single" w:sz="2" w:space="0" w:color="000000"/>
            </w:tcBorders>
            <w:tcMar>
              <w:bottom w:w="28" w:type="dxa"/>
            </w:tcMar>
          </w:tcPr>
          <w:p>
            <w:pPr>
              <w:pStyle w:val="TableContents"/>
              <w:bidi w:val="0"/>
              <w:spacing w:before="0" w:after="283"/>
              <w:jc w:val="left"/>
              <w:rPr/>
            </w:pPr>
            <w:r>
              <w:rPr/>
              <w:t> </w:t>
            </w:r>
          </w:p>
        </w:tc>
      </w:tr>
      <w:tr>
        <w:trPr/>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center"/>
              <w:rPr>
                <w:i/>
              </w:rPr>
            </w:pPr>
            <w:r>
              <w:rPr>
                <w:i/>
              </w:rPr>
              <w:t>(please print full name)</w:t>
            </w:r>
          </w:p>
        </w:tc>
      </w:tr>
      <w:tr>
        <w:trPr>
          <w:trHeight w:val="240" w:hRule="atLeast"/>
        </w:trPr>
        <w:tc>
          <w:tcPr>
            <w:tcW w:w="714" w:type="dxa"/>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Title: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982" w:type="dxa"/>
            <w:tcBorders>
              <w:bottom w:val="single" w:sz="2" w:space="0" w:color="000000"/>
            </w:tcBorders>
            <w:tcMar>
              <w:bottom w:w="28" w:type="dxa"/>
            </w:tcMar>
          </w:tcPr>
          <w:p>
            <w:pPr>
              <w:pStyle w:val="TableContents"/>
              <w:bidi w:val="0"/>
              <w:spacing w:before="0" w:after="283"/>
              <w:jc w:val="left"/>
              <w:rPr/>
            </w:pPr>
            <w:r>
              <w:rPr/>
              <w:t> </w:t>
            </w:r>
          </w:p>
        </w:tc>
      </w:tr>
      <w:tr>
        <w:trPr/>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center"/>
              <w:rPr>
                <w:i/>
              </w:rPr>
            </w:pPr>
            <w:r>
              <w:rPr>
                <w:i/>
              </w:rPr>
              <w:t>(please print full title)</w:t>
            </w:r>
          </w:p>
        </w:tc>
      </w:tr>
      <w:tr>
        <w:trPr/>
        <w:tc>
          <w:tcPr>
            <w:tcW w:w="714"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1"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7" w:type="dxa"/>
            <w:gridSpan w:val="3"/>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4"/>
            <w:tcBorders/>
            <w:vAlign w:val="center"/>
          </w:tcPr>
          <w:p>
            <w:pPr>
              <w:pStyle w:val="TableContents"/>
              <w:bidi w:val="0"/>
              <w:spacing w:before="0" w:after="283"/>
              <w:jc w:val="left"/>
              <w:rPr>
                <w:sz w:val="4"/>
                <w:szCs w:val="4"/>
              </w:rPr>
            </w:pPr>
            <w:r>
              <w:rPr>
                <w:sz w:val="4"/>
                <w:szCs w:val="4"/>
              </w:rPr>
            </w:r>
          </w:p>
        </w:tc>
      </w:tr>
      <w:tr>
        <w:trPr/>
        <w:tc>
          <w:tcPr>
            <w:tcW w:w="4797" w:type="dxa"/>
            <w:gridSpan w:val="3"/>
            <w:tcBorders>
              <w:bottom w:val="single" w:sz="2" w:space="0" w:color="000000"/>
            </w:tcBorders>
            <w:tcMar>
              <w:bottom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797" w:type="dxa"/>
            <w:gridSpan w:val="3"/>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4"/>
            <w:tcBorders/>
            <w:vAlign w:val="center"/>
          </w:tcPr>
          <w:p>
            <w:pPr>
              <w:pStyle w:val="TableContents"/>
              <w:bidi w:val="0"/>
              <w:spacing w:before="0" w:after="283"/>
              <w:jc w:val="left"/>
              <w:rPr>
                <w:sz w:val="4"/>
                <w:szCs w:val="4"/>
              </w:rPr>
            </w:pPr>
            <w:r>
              <w:rPr>
                <w:sz w:val="4"/>
                <w:szCs w:val="4"/>
              </w:rPr>
            </w:r>
          </w:p>
        </w:tc>
      </w:tr>
      <w:tr>
        <w:trPr/>
        <w:tc>
          <w:tcPr>
            <w:tcW w:w="4797" w:type="dxa"/>
            <w:gridSpan w:val="3"/>
            <w:tcBorders>
              <w:bottom w:val="single" w:sz="2" w:space="0" w:color="000000"/>
            </w:tcBorders>
            <w:tcMar>
              <w:bottom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714" w:type="dxa"/>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1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20"/>
              </w:rPr>
            </w:pPr>
            <w:r>
              <w:rPr>
                <w:sz w:val="20"/>
              </w:rPr>
              <w:t>E-mail:</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982" w:type="dxa"/>
            <w:tcBorders>
              <w:bottom w:val="single" w:sz="2" w:space="0" w:color="000000"/>
            </w:tcBorders>
            <w:tcMar>
              <w:bottom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left"/>
              <w:rPr>
                <w:sz w:val="20"/>
              </w:rPr>
            </w:pPr>
            <w:r>
              <w:rPr>
                <w:sz w:val="20"/>
              </w:rPr>
              <w:t>E-mail:</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982"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4" w:name="d417912dex51.htm"/>
      <w:bookmarkStart w:id="5" w:name="ksd41791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5"/>
        <w:gridCol w:w="204"/>
        <w:gridCol w:w="2756"/>
      </w:tblGrid>
      <w:tr>
        <w:trPr/>
        <w:tc>
          <w:tcPr>
            <w:tcW w:w="7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7245" w:type="dxa"/>
            <w:tcBorders/>
          </w:tcPr>
          <w:p>
            <w:pPr>
              <w:pStyle w:val="TableContents"/>
              <w:bidi w:val="0"/>
              <w:spacing w:before="0" w:after="0"/>
              <w:jc w:val="both"/>
              <w:rPr/>
            </w:pPr>
            <w:r>
              <w:rPr/>
              <w:drawing>
                <wp:inline distT="0" distB="0" distL="0" distR="0">
                  <wp:extent cx="13049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6197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0"/>
              <w:jc w:val="left"/>
              <w:rPr>
                <w:rFonts w:ascii="Times New Roman" w:hAnsi="Times New Roman"/>
                <w:sz w:val="20"/>
              </w:rPr>
            </w:pPr>
            <w:r>
              <w:rPr>
                <w:rFonts w:ascii="Times New Roman" w:hAnsi="Times New Roman"/>
                <w:sz w:val="20"/>
              </w:rPr>
              <w:t>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650 Page Mill Road</w:t>
            </w:r>
          </w:p>
          <w:p>
            <w:pPr>
              <w:pStyle w:val="TableContents"/>
              <w:bidi w:val="0"/>
              <w:spacing w:before="0" w:after="0"/>
              <w:jc w:val="left"/>
              <w:rPr>
                <w:rFonts w:ascii="Times New Roman" w:hAnsi="Times New Roman"/>
                <w:sz w:val="20"/>
              </w:rPr>
            </w:pPr>
            <w:r>
              <w:rPr>
                <w:rFonts w:ascii="Times New Roman" w:hAnsi="Times New Roman"/>
                <w:sz w:val="20"/>
              </w:rPr>
              <w:t>Palo Alto, California 94304-1050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650.493.9300</w:t>
            </w:r>
          </w:p>
          <w:p>
            <w:pPr>
              <w:pStyle w:val="TableContents"/>
              <w:bidi w:val="0"/>
              <w:spacing w:before="0" w:after="20"/>
              <w:jc w:val="left"/>
              <w:rPr>
                <w:rFonts w:ascii="Times New Roman" w:hAnsi="Times New Roman"/>
                <w:sz w:val="20"/>
              </w:rPr>
            </w:pPr>
            <w:r>
              <w:rPr>
                <w:rFonts w:ascii="Times New Roman" w:hAnsi="Times New Roman"/>
                <w:sz w:val="20"/>
              </w:rPr>
              <w:t>F: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October 16, 2026 </w:t>
      </w:r>
    </w:p>
    <w:p>
      <w:pPr>
        <w:pStyle w:val="TextBody"/>
        <w:bidi w:val="0"/>
        <w:spacing w:before="240" w:after="0"/>
        <w:jc w:val="both"/>
        <w:rPr>
          <w:rFonts w:ascii="Times New Roman" w:hAnsi="Times New Roman"/>
          <w:sz w:val="20"/>
        </w:rPr>
      </w:pPr>
      <w:r>
        <w:rPr>
          <w:rFonts w:ascii="Times New Roman" w:hAnsi="Times New Roman"/>
          <w:sz w:val="20"/>
        </w:rPr>
        <w:t xml:space="preserve">Alector, Inc. </w:t>
      </w:r>
    </w:p>
    <w:p>
      <w:pPr>
        <w:pStyle w:val="TextBody"/>
        <w:bidi w:val="0"/>
        <w:spacing w:before="0" w:after="0"/>
        <w:jc w:val="left"/>
        <w:rPr>
          <w:rFonts w:ascii="Times New Roman" w:hAnsi="Times New Roman"/>
          <w:sz w:val="20"/>
        </w:rPr>
      </w:pPr>
      <w:r>
        <w:rPr>
          <w:rFonts w:ascii="Times New Roman" w:hAnsi="Times New Roman"/>
          <w:sz w:val="20"/>
        </w:rPr>
        <w:t xml:space="preserve">131 Oyster Point Boulevard, Suite 600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both"/>
        <w:rPr>
          <w:rFonts w:ascii="Times New Roman" w:hAnsi="Times New Roman"/>
          <w:b/>
          <w:sz w:val="20"/>
        </w:rPr>
      </w:pPr>
      <w:r>
        <w:rPr>
          <w:rFonts w:ascii="Times New Roman" w:hAnsi="Times New Roman"/>
          <w:b/>
          <w:sz w:val="20"/>
        </w:rPr>
        <w:t xml:space="preserve">Re: Alector, Inc. – Sale and Issuance of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both"/>
        <w:rPr>
          <w:rFonts w:ascii="Times New Roman" w:hAnsi="Times New Roman"/>
          <w:sz w:val="20"/>
        </w:rPr>
      </w:pPr>
      <w:r>
        <w:rPr>
          <w:rFonts w:ascii="Times New Roman" w:hAnsi="Times New Roman"/>
          <w:sz w:val="20"/>
        </w:rPr>
        <w:t>This opinion is furnished to you in connection with the Registration Statement on Form S-3, filed by Alector, Inc. (the “</w:t>
      </w:r>
      <w:r>
        <w:rPr>
          <w:rFonts w:ascii="Times New Roman" w:hAnsi="Times New Roman"/>
          <w:b/>
          <w:sz w:val="20"/>
        </w:rPr>
        <w:t>Company</w:t>
      </w:r>
      <w:r>
        <w:rPr>
          <w:rFonts w:ascii="Times New Roman" w:hAnsi="Times New Roman"/>
          <w:sz w:val="20"/>
        </w:rPr>
        <w:t>”) with the Securities and Exchange Commission (the “</w:t>
      </w:r>
      <w:r>
        <w:rPr>
          <w:rFonts w:ascii="Times New Roman" w:hAnsi="Times New Roman"/>
          <w:b/>
          <w:sz w:val="20"/>
        </w:rPr>
        <w:t>Commission</w:t>
      </w:r>
      <w:r>
        <w:rPr>
          <w:rFonts w:ascii="Times New Roman" w:hAnsi="Times New Roman"/>
          <w:sz w:val="20"/>
        </w:rPr>
        <w:t>”) on March 12, 2026 under the Securities Act of 1933, as amended (the “</w:t>
      </w:r>
      <w:r>
        <w:rPr>
          <w:rFonts w:ascii="Times New Roman" w:hAnsi="Times New Roman"/>
          <w:b/>
          <w:sz w:val="20"/>
        </w:rPr>
        <w:t>Securities Act</w:t>
      </w:r>
      <w:r>
        <w:rPr>
          <w:rFonts w:ascii="Times New Roman" w:hAnsi="Times New Roman"/>
          <w:sz w:val="20"/>
        </w:rPr>
        <w:t>”), and declared effective on April 30, 2026 (the “</w:t>
      </w:r>
      <w:r>
        <w:rPr>
          <w:rFonts w:ascii="Times New Roman" w:hAnsi="Times New Roman"/>
          <w:b/>
          <w:sz w:val="20"/>
        </w:rPr>
        <w:t>Registration Statement</w:t>
      </w:r>
      <w:r>
        <w:rPr>
          <w:rFonts w:ascii="Times New Roman" w:hAnsi="Times New Roman"/>
          <w:sz w:val="20"/>
        </w:rPr>
        <w:t>”), the prospectus contained within the Registration Statement (the “</w:t>
      </w:r>
      <w:r>
        <w:rPr>
          <w:rFonts w:ascii="Times New Roman" w:hAnsi="Times New Roman"/>
          <w:b/>
          <w:sz w:val="20"/>
        </w:rPr>
        <w:t>Base Prospectus</w:t>
      </w:r>
      <w:r>
        <w:rPr>
          <w:rFonts w:ascii="Times New Roman" w:hAnsi="Times New Roman"/>
          <w:sz w:val="20"/>
        </w:rPr>
        <w:t>”), and the prospectus supplement to the Registration Statement dated October 16, 2026 (together with the Base Prospectus, the “</w:t>
      </w:r>
      <w:r>
        <w:rPr>
          <w:rFonts w:ascii="Times New Roman" w:hAnsi="Times New Roman"/>
          <w:b/>
          <w:sz w:val="20"/>
        </w:rPr>
        <w:t>Prospectus</w:t>
      </w:r>
      <w:r>
        <w:rPr>
          <w:rFonts w:ascii="Times New Roman" w:hAnsi="Times New Roman"/>
          <w:sz w:val="20"/>
        </w:rPr>
        <w:t>”), in connection with the registration under the Securities Act of 36,600,000 shares of the Company’s common stock, $0.0001 par value per share (collectively, the “</w:t>
      </w:r>
      <w:r>
        <w:rPr>
          <w:rFonts w:ascii="Times New Roman" w:hAnsi="Times New Roman"/>
          <w:b/>
          <w:sz w:val="20"/>
        </w:rPr>
        <w:t>Shares</w:t>
      </w:r>
      <w:r>
        <w:rPr>
          <w:rFonts w:ascii="Times New Roman" w:hAnsi="Times New Roman"/>
          <w:sz w:val="20"/>
        </w:rPr>
        <w:t>”), to be issued and sold by the Company. The offering of the Shares is being made pursuant to that certain underwriting agreement, dated October 15, 2026, by and among the Company, Morgan Stanley &amp; Co. LLC and BTIG, LLC (the “</w:t>
      </w:r>
      <w:r>
        <w:rPr>
          <w:rFonts w:ascii="Times New Roman" w:hAnsi="Times New Roman"/>
          <w:b/>
          <w:sz w:val="20"/>
        </w:rPr>
        <w:t>Underwriting Agreement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are acting as counsel for the Company in connection with the issuance and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(iv) that the Underwriting Agreement has been duly authorized and validly executed and delivered by the parties thereto (other than the Company); (v) that the Shares will be issued and sold in compliance with applicable U.S. federal and state securities laws and in the manner stated in the Registration Statement and the Prospectus; (vi) with respect to the Shares offered by the Company, that there will be sufficient shares of common stock authorized under the Company’s organizational documents that are not otherwise reserved for issuance; and (vii) the legal capacity of all natural persons. </w:t>
      </w:r>
    </w:p>
    <w:p>
      <w:pPr>
        <w:pStyle w:val="TextBody"/>
        <w:bidi w:val="0"/>
        <w:spacing w:before="240" w:after="0"/>
        <w:jc w:val="both"/>
        <w:rPr>
          <w:rFonts w:ascii="Times New Roman" w:hAnsi="Times New Roman"/>
          <w:sz w:val="20"/>
        </w:rPr>
      </w:pPr>
      <w:r>
        <w:rPr>
          <w:rFonts w:ascii="Times New Roman" w:hAnsi="Times New Roman"/>
          <w:sz w:val="20"/>
        </w:rPr>
        <w:t xml:space="preserve">Our opinion that any document is legal, valid and binding is qualified as to: </w:t>
      </w:r>
    </w:p>
    <w:p>
      <w:pPr>
        <w:pStyle w:val="TextBody"/>
        <w:bidi w:val="0"/>
        <w:spacing w:before="240" w:after="0"/>
        <w:jc w:val="both"/>
        <w:rPr>
          <w:rFonts w:ascii="Times New Roman" w:hAnsi="Times New Roman"/>
          <w:sz w:val="20"/>
        </w:rPr>
      </w:pPr>
      <w:r>
        <w:rPr>
          <w:rFonts w:ascii="Times New Roman" w:hAnsi="Times New Roman"/>
          <w:sz w:val="20"/>
        </w:rPr>
        <w:t xml:space="preserve">(a)  limitations imposed by bankruptcy, insolvency, reorganization, arrangement, fraudulent transfer, moratorium or other similar laws relating to or affecting the rights of creditors generally;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AUSTIN  BOSTON  BOULDER  BRUSSELS  CENTURY CITY  HONG KONG  LONDON  LOS ANGELES  NEW YORK  PALO ALTO </w:t>
      </w:r>
    </w:p>
    <w:p>
      <w:pPr>
        <w:pStyle w:val="TextBody"/>
        <w:bidi w:val="0"/>
        <w:spacing w:before="0" w:after="0"/>
        <w:jc w:val="center"/>
        <w:rPr>
          <w:rFonts w:ascii="Times New Roman" w:hAnsi="Times New Roman"/>
          <w:sz w:val="16"/>
        </w:rPr>
      </w:pPr>
      <w:r>
        <w:rPr>
          <w:rFonts w:ascii="Times New Roman" w:hAnsi="Times New Roman"/>
          <w:sz w:val="16"/>
        </w:rPr>
        <w:t xml:space="preserve">SALT LAKE CITY  SAN DIEGO  SAN FRANCISCO  SEATTLE  SHANGHAI  WASHINGTON, DC  WILMINGTON, DE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(b)  rights to indemnification and contribution, which may be limited by applicable law or equitable principles; and </w:t>
      </w:r>
    </w:p>
    <w:p>
      <w:pPr>
        <w:pStyle w:val="TextBody"/>
        <w:bidi w:val="0"/>
        <w:spacing w:before="240" w:after="0"/>
        <w:jc w:val="both"/>
        <w:rPr>
          <w:rFonts w:ascii="Times New Roman" w:hAnsi="Times New Roman"/>
          <w:sz w:val="20"/>
        </w:rPr>
      </w:pPr>
      <w:r>
        <w:rPr>
          <w:rFonts w:ascii="Times New Roman" w:hAnsi="Times New Roman"/>
          <w:sz w:val="20"/>
        </w:rPr>
        <w:t xml:space="preserve">(c)  the effect of general principles of equity, including without limitation concepts of materiality, reasonableness, good faith and fair dealing, and the possible unavailability of specific performance or injunctive relief, whether considered in a proceeding in equity or at law. </w:t>
      </w:r>
    </w:p>
    <w:p>
      <w:pPr>
        <w:pStyle w:val="TextBody"/>
        <w:bidi w:val="0"/>
        <w:spacing w:before="240" w:after="0"/>
        <w:jc w:val="both"/>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 </w:t>
      </w:r>
    </w:p>
    <w:p>
      <w:pPr>
        <w:pStyle w:val="TextBody"/>
        <w:bidi w:val="0"/>
        <w:spacing w:before="240" w:after="0"/>
        <w:jc w:val="both"/>
        <w:rPr>
          <w:rFonts w:ascii="Times New Roman" w:hAnsi="Times New Roman"/>
          <w:sz w:val="20"/>
        </w:rPr>
      </w:pPr>
      <w:r>
        <w:rPr>
          <w:rFonts w:ascii="Times New Roman" w:hAnsi="Times New Roman"/>
          <w:sz w:val="20"/>
        </w:rPr>
        <w:t xml:space="preserve">On the basis of the foregoing, we are of the opinion that the Shares to be issued and sold by the Company have been duly authorized and, when such Shares are issued and paid for in accordance with the terms of the Underwriting Agreement, will be validly issued, fully paid and nonassessable. </w:t>
      </w:r>
    </w:p>
    <w:p>
      <w:pPr>
        <w:pStyle w:val="TextBody"/>
        <w:bidi w:val="0"/>
        <w:spacing w:before="240" w:after="0"/>
        <w:jc w:val="both"/>
        <w:rPr>
          <w:rFonts w:ascii="Times New Roman" w:hAnsi="Times New Roman"/>
          <w:sz w:val="20"/>
        </w:rPr>
      </w:pPr>
      <w:r>
        <w:rPr>
          <w:rFonts w:ascii="Times New Roman" w:hAnsi="Times New Roman"/>
          <w:sz w:val="20"/>
        </w:rPr>
        <w:t xml:space="preserve">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 Wilson Sonsini Goodrich &amp; Rosati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WILSON SONSINI GOODRICH &amp; ROSATI</w:t>
            </w:r>
          </w:p>
        </w:tc>
      </w:tr>
      <w:tr>
        <w:trPr/>
        <w:tc>
          <w:tcPr>
            <w:tcW w:w="4082" w:type="dxa"/>
            <w:tcBorders/>
            <w:vAlign w:val="bottom"/>
          </w:tcPr>
          <w:p>
            <w:pPr>
              <w:pStyle w:val="TableContents"/>
              <w:bidi w:val="0"/>
              <w:spacing w:before="0" w:after="283"/>
              <w:jc w:val="left"/>
              <w:rPr/>
            </w:pPr>
            <w:r>
              <w:rPr/>
              <w:t>Professional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6" w:name="d417912dex991.htm"/>
      <w:bookmarkStart w:id="7" w:name="ksd417912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9"/>
        <w:gridCol w:w="120"/>
        <w:gridCol w:w="4676"/>
      </w:tblGrid>
      <w:tr>
        <w:trPr/>
        <w:tc>
          <w:tcPr>
            <w:tcW w:w="54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r>
      <w:tr>
        <w:trPr/>
        <w:tc>
          <w:tcPr>
            <w:tcW w:w="5409" w:type="dxa"/>
            <w:tcBorders/>
            <w:vAlign w:val="bottom"/>
          </w:tcPr>
          <w:p>
            <w:pPr>
              <w:pStyle w:val="TableContents"/>
              <w:bidi w:val="0"/>
              <w:spacing w:before="0" w:after="283"/>
              <w:jc w:val="left"/>
              <w:rPr/>
            </w:pPr>
            <w:r>
              <w:rPr/>
              <w:drawing>
                <wp:inline distT="0" distB="0" distL="0" distR="0">
                  <wp:extent cx="1914525"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4525" cy="7048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676" w:type="dxa"/>
            <w:tcBorders/>
            <w:vAlign w:val="center"/>
          </w:tcPr>
          <w:p>
            <w:pPr>
              <w:pStyle w:val="TableContents"/>
              <w:bidi w:val="0"/>
              <w:spacing w:before="0" w:after="283"/>
              <w:jc w:val="right"/>
              <w:rPr/>
            </w:pPr>
            <w:r>
              <w:rPr/>
              <w:t>RELEASE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Alector Announces Pricing of Underwritten Offering </w:t>
      </w:r>
    </w:p>
    <w:p>
      <w:pPr>
        <w:pStyle w:val="TextBody"/>
        <w:bidi w:val="0"/>
        <w:spacing w:before="240" w:after="0"/>
        <w:jc w:val="left"/>
        <w:rPr>
          <w:rFonts w:ascii="Times New Roman" w:hAnsi="Times New Roman"/>
          <w:sz w:val="20"/>
        </w:rPr>
      </w:pPr>
      <w:r>
        <w:rPr>
          <w:rFonts w:ascii="Times New Roman" w:hAnsi="Times New Roman"/>
          <w:b/>
          <w:sz w:val="20"/>
        </w:rPr>
        <w:t>SOUTH SAN FRANCISCO, Calif., October</w:t>
      </w:r>
      <w:r>
        <w:rPr>
          <w:rFonts w:ascii="Times New Roman" w:hAnsi="Times New Roman"/>
          <w:sz w:val="20"/>
        </w:rPr>
        <w:t> </w:t>
      </w:r>
      <w:r>
        <w:rPr>
          <w:rFonts w:ascii="Times New Roman" w:hAnsi="Times New Roman"/>
          <w:b/>
          <w:sz w:val="20"/>
        </w:rPr>
        <w:t xml:space="preserve">16, 2026 (GLOBE NEWSWIRE) — </w:t>
      </w:r>
      <w:r>
        <w:rPr>
          <w:rFonts w:ascii="Times New Roman" w:hAnsi="Times New Roman"/>
          <w:sz w:val="20"/>
        </w:rPr>
        <w:t xml:space="preserve">Alector, Inc. (“Alector,” Nasdaq: ALEC), a biotechnology company focused on developing therapies to counteract the devastating progression of neurodegeneration, today announced the pricing of an underwritten offering of common stock. Alector is selling 36,600,000 shares of common stock. The shares of common stock are being sold at an offering price of $2.05 per share, which represents a premium of approximately 7.3% over the closing price on October 15, 2026. The gross proceeds to Alector from this offering are expected to be $75,030,000.00 before deducting the underwriting discounts and commissions and other estimated offering expenses. All shares of common stock to be sold in the offering are being offered by Alector. The offering is expected to close on or about October 19,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financing includes participation from new and existing investors, including TCGX, BVF Partners, ADAR1 Capital Management, and Deep Track Capital, among others. </w:t>
      </w:r>
    </w:p>
    <w:p>
      <w:pPr>
        <w:pStyle w:val="TextBody"/>
        <w:bidi w:val="0"/>
        <w:spacing w:before="240" w:after="0"/>
        <w:jc w:val="left"/>
        <w:rPr>
          <w:rFonts w:ascii="Times New Roman" w:hAnsi="Times New Roman"/>
          <w:sz w:val="20"/>
        </w:rPr>
      </w:pPr>
      <w:r>
        <w:rPr>
          <w:rFonts w:ascii="Times New Roman" w:hAnsi="Times New Roman"/>
          <w:sz w:val="20"/>
        </w:rPr>
        <w:t xml:space="preserve">Alector anticipates using the net proceeds from the offering for general corporate purposes, which may include research, development and manufacturing of our product candidates, working capital, capital expenditures, other corporate expenses, and acquisitions of, or strategic transactions in, complementary products, technologies, or businesses.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and BTIG, LLC are acting as joint lead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described above are being offered by Alector pursuant to a shelf registration statement previously filed with and declared effective by the Securities and Exchange Commission (the “SEC”). A prospectus supplement related to the offering will be filed with the SEC and will be available on the SEC’s website at www.sec.gov. Copies of the prospectus supplement and the accompanying prospectus relating to this offering may be obtained, when available, from: Morgan Stanley &amp; Co. LLC, 180 Varick Street, 2nd Floor, New York, NY 10014, Attention: Prospectus Department; or by email at prospectus@morganstanley.com; or BTIG, LLC, 65 East 55th Street, New York, New York 10022, or by email at ProspectusDelivery@btig.com.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Alector </w:t>
      </w:r>
    </w:p>
    <w:p>
      <w:pPr>
        <w:pStyle w:val="TextBody"/>
        <w:bidi w:val="0"/>
        <w:spacing w:before="120" w:after="0"/>
        <w:jc w:val="left"/>
        <w:rPr>
          <w:rFonts w:ascii="Times New Roman" w:hAnsi="Times New Roman"/>
          <w:sz w:val="20"/>
        </w:rPr>
      </w:pPr>
      <w:r>
        <w:rPr>
          <w:rFonts w:ascii="Times New Roman" w:hAnsi="Times New Roman"/>
          <w:sz w:val="20"/>
        </w:rPr>
        <w:t xml:space="preserve">Alector is a biotechnology company focused on developing therapies to counteract the devastating progression of neurodegenerative diseases. Leveraging the principles of genetics, immunology, and neuroscience, the company is advancing a portfolio of programs that aim to remove toxic proteins, replace missing proteins, and restore immune and nerve cell function. Supported by biomarkers, Alector’s product candidates seek to treat a range of indications, such as Alzheimer’s disease and Parkinson’s disease. The company is also developing Alector Brain Carrier (ABC), a proprietary blood-brain barrier platform, which is being applied to its preclinical and research pipeline. ABC aims to enhance the delivery of therapeutics, achieve deeper brain penetration and efficacy at lower doses, and ultimately improve patient outcomes while reducing costs. Alector is headquartered in South San Francisco, California.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including statements relating to Alector’s expectations regarding the anticipated use of proceeds, and the completion of the offering. These statements are subject to significant risks and uncertainties, and actual results could differ materially from those projected. Alector cautions investors not to place undue reliance on the forward-looking statements contained in this release. These risks and uncertainties include, without limitation, risks and uncertainties related to market conditions, and the satisfaction of customary closing conditions related to the offering. There can be no assurance that Alector will be able to complete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offering. These and other risks are described more fully in Alector’s filings with the Securities and Exchange Commission (“SEC”), including Alector’s Annual Reports on Form 10-K, Quarterly Reports on Form 10-Q and other documents Alector files with the SEC from time to time. Except to the extent required by law, Alector undertakes no obligation to update such statements to reflect events that occur or circumstances that exist after the date on which they were made. </w:t>
      </w:r>
    </w:p>
    <w:p>
      <w:pPr>
        <w:pStyle w:val="TextBody"/>
        <w:bidi w:val="0"/>
        <w:spacing w:before="360" w:after="0"/>
        <w:jc w:val="left"/>
        <w:rPr>
          <w:rFonts w:ascii="Times New Roman" w:hAnsi="Times New Roman"/>
          <w:b/>
          <w:sz w:val="20"/>
        </w:rPr>
      </w:pPr>
      <w:r>
        <w:rPr>
          <w:rFonts w:ascii="Times New Roman" w:hAnsi="Times New Roman"/>
          <w:b/>
          <w:sz w:val="20"/>
        </w:rPr>
        <w:t xml:space="preserve">Alector Contacts: </w:t>
      </w:r>
    </w:p>
    <w:p>
      <w:pPr>
        <w:pStyle w:val="TextBody"/>
        <w:bidi w:val="0"/>
        <w:spacing w:before="120" w:after="0"/>
        <w:jc w:val="left"/>
        <w:rPr>
          <w:rFonts w:ascii="Times New Roman" w:hAnsi="Times New Roman"/>
          <w:sz w:val="20"/>
        </w:rPr>
      </w:pPr>
      <w:r>
        <w:rPr>
          <w:rFonts w:ascii="Times New Roman" w:hAnsi="Times New Roman"/>
          <w:sz w:val="20"/>
        </w:rPr>
        <w:t xml:space="preserve">Argot Partners (investors) </w:t>
      </w:r>
    </w:p>
    <w:p>
      <w:pPr>
        <w:pStyle w:val="TextBody"/>
        <w:bidi w:val="0"/>
        <w:spacing w:before="0" w:after="0"/>
        <w:jc w:val="left"/>
        <w:rPr>
          <w:rFonts w:ascii="Times New Roman" w:hAnsi="Times New Roman"/>
          <w:sz w:val="20"/>
        </w:rPr>
      </w:pPr>
      <w:r>
        <w:rPr>
          <w:rFonts w:ascii="Times New Roman" w:hAnsi="Times New Roman"/>
          <w:sz w:val="20"/>
        </w:rPr>
        <w:t xml:space="preserve">Laura Perry </w:t>
      </w:r>
    </w:p>
    <w:p>
      <w:pPr>
        <w:pStyle w:val="TextBody"/>
        <w:bidi w:val="0"/>
        <w:spacing w:before="0" w:after="0"/>
        <w:jc w:val="left"/>
        <w:rPr>
          <w:rFonts w:ascii="Times New Roman" w:hAnsi="Times New Roman"/>
          <w:sz w:val="20"/>
        </w:rPr>
      </w:pPr>
      <w:r>
        <w:rPr>
          <w:rFonts w:ascii="Times New Roman" w:hAnsi="Times New Roman"/>
          <w:sz w:val="20"/>
        </w:rPr>
        <w:t xml:space="preserve">alector@argotpartners.com </w:t>
      </w:r>
    </w:p>
    <w:p>
      <w:pPr>
        <w:pStyle w:val="TextBody"/>
        <w:bidi w:val="0"/>
        <w:spacing w:before="240" w:after="0"/>
        <w:jc w:val="left"/>
        <w:rPr>
          <w:rFonts w:ascii="Times New Roman" w:hAnsi="Times New Roman"/>
          <w:sz w:val="20"/>
        </w:rPr>
      </w:pPr>
      <w:r>
        <w:rPr>
          <w:rFonts w:ascii="Times New Roman" w:hAnsi="Times New Roman"/>
          <w:sz w:val="20"/>
        </w:rPr>
        <w:t xml:space="preserve">Argot Partners (media) </w:t>
      </w:r>
    </w:p>
    <w:p>
      <w:pPr>
        <w:pStyle w:val="TextBody"/>
        <w:bidi w:val="0"/>
        <w:spacing w:before="0" w:after="0"/>
        <w:jc w:val="left"/>
        <w:rPr>
          <w:rFonts w:ascii="Times New Roman" w:hAnsi="Times New Roman"/>
          <w:sz w:val="20"/>
        </w:rPr>
      </w:pPr>
      <w:r>
        <w:rPr>
          <w:rFonts w:ascii="Times New Roman" w:hAnsi="Times New Roman"/>
          <w:sz w:val="20"/>
        </w:rPr>
        <w:t xml:space="preserve">David Rosen </w:t>
      </w:r>
    </w:p>
    <w:p>
      <w:pPr>
        <w:pStyle w:val="TextBody"/>
        <w:bidi w:val="0"/>
        <w:spacing w:before="0" w:after="0"/>
        <w:jc w:val="left"/>
        <w:rPr>
          <w:rFonts w:ascii="Times New Roman" w:hAnsi="Times New Roman"/>
          <w:sz w:val="20"/>
        </w:rPr>
      </w:pPr>
      <w:r>
        <w:rPr>
          <w:rFonts w:ascii="Times New Roman" w:hAnsi="Times New Roman"/>
          <w:sz w:val="20"/>
        </w:rPr>
        <w:t xml:space="preserve">646-461-6387 </w:t>
      </w:r>
    </w:p>
    <w:p>
      <w:pPr>
        <w:pStyle w:val="TextBody"/>
        <w:bidi w:val="0"/>
        <w:spacing w:before="0" w:after="0"/>
        <w:jc w:val="left"/>
        <w:rPr>
          <w:rFonts w:ascii="Times New Roman" w:hAnsi="Times New Roman"/>
          <w:sz w:val="20"/>
        </w:rPr>
      </w:pPr>
      <w:r>
        <w:rPr>
          <w:rFonts w:ascii="Times New Roman" w:hAnsi="Times New Roman"/>
          <w:sz w:val="20"/>
        </w:rPr>
        <w:t xml:space="preserve">alector@argotpartners.com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21730</Words>
  <Characters>115719</Characters>
  <CharactersWithSpaces>137610</CharactersWithSpaces>
  <Paragraphs>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