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Alector,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Polaris Venture Partners VI,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498,468.00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498,468.00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498,468.00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All shares are held of record by PVP VI (as defined in Item 2(a) of the Original Schedule 13G (as defined below)). PVM VI (as defined in Item 2(a) of the Original Schedule 13G), the general partner of PVP VI,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the Issuer's common stock ("Common Stock") outstanding as of February 20, 2026, as set forth in the Issuer's annual report on Form 10-K for the year ended December 31, 2026, filed with the United States Securities and Exchange Commission (the "Commission") on February 25, 2026 (the "Form 10-K").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Polaris Venture Partners Founders' Fund VI,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267,979.00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267,979.00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267,979.00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PVPFF VI (as defined in Item 2(a) of the Original Schedule 13G). PVM VI, the general partner of PVPFF VI,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Polaris Venture Partners VI (AIV),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3,280,842.00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3,280,842.00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3,280,842.00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PVP VI (AIV) (as defined in Item 2(a) of the Original Schedule 13G). PVM VI, the general partner of PVP VI (AIV),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Polaris Venture Partners VI (AIV-B),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806,528.00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806,528.00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806,528.00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PVP VI (AIV-B) (as defined in Item 2(a) of the Original Schedule 13G). PVM VI, the general partner of PVP VI (AIV-B),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Polaris Venture Management Co VI,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4,853,817.00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4,853,817.00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4,853,817.00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6 and 8 consist of (i) 498,468 shares held of record by PVP VI, (ii) 267,979 shares held of record by PVPFF VI, (iii) 3,280,842 shares held of record by PVP VI (AIV) and (iv) 806,528 shares held of record by PVP VI (AIV-B). PVM VI, the general partner of each of PVP VI, PVPFF VI, PVP VI (AIV) and PVP VI (AIV-B),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Barrett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4,853,817.00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4,853,817.00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4,853,817.00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shares reported in Rows 6 and 8 consist of (i) 498,468 shares held of record by PVP VI, (ii) 267,979 shares held of record by PVPFF VI, (iii) 3,280,842 shares held of record by PVP VI (AIV) and (iv) 806,528 shares held of record by PVP VI (AIV-B). PVM VI, the general partner of each of PVP VI, PVPFF VI, PVP VI (AIV) and PVP VI (AIV-B),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Brian Chee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4,853,817.00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4,853,817.00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4,853,817.00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6 and 8 consist of (i) 498,468 shares held of record by PVP VI, (ii) 267,979 shares held of record by PVPFF VI, (iii) 3,280,842 shares held of record by PVP VI (AIV) and (iv) 806,528 shares held of record by PVP VI (AIV-B). PVM VI, the general partner of each of PVP VI, PVPFF VI, PVP VI (AIV) and PVP VI (AIV-B),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Jonathan A. Flint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39,124.00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4,853,817.00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39,124.00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4,853,817.00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4,892,941.00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5 and 7 are held directly by Jonathan A. Flint. The shares reported in Rows 6 and 8 consist of (i) 498,468 shares held of record by PVP VI, (ii) 267,979 shares held of record by PVPFF VI, (iii) 3,280,842 shares held of record by PVP VI (AIV) and (iv) 806,528 shares held of record by PVP VI (AIV-B). PVM VI, the general partner of each of PVP VI, PVPFF VI, PVP VI (AIV) and PVP VI (AIV-B),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Terrance G. McGuire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319,682.00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4,853,817.00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319,682.00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4,853,817.00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5,173,499.00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5 and 7 consist of (i) 96,435 shares held directly by Terrance G. McGuire, (ii) 196,997 shares held by McGuire Family Trust, and (iii) 26,250 shares consist of restricted stock units that have been granted to Terrance G. McGuire in his capacity as a former director of the Issuer. Terrance G. McGuire is the donor of the McGuire Family Trust and may be deemed to share voting, investment and dispositive power with respect to the shares held by the McGuire Family Trust. The shares reported in Rows 6 and 8 consist of (i) 498,468 shares held of record by PVP VI, (ii) 267,979 shares held of record by PVPFF VI (iii) 3,280,842 shares held of record by PVP VI (AIV) and (iv) 806,528 shares held of record by PVP VI (AIV-B). PVM VI, the general partner of each of PVP VI, PVPFF VI, PVP VI (AIV) and PVP VI (AIV-B),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110,388,831 shares of Common Stock, calculated as follows: (i) 26,250 shares that represent restricted stock units that have been granted to Mr. McGuire in his capacity as a former director of the Issuer plus (ii)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Amir Nashat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131,332.00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4,853,817.00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131,332.00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4,853,817.00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4,985,149.00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5 and 7 are held directly by Amir Nashat. The shares reported in Rows 6 and 8 consist of (i) 498,468 shares held of record by PVP VI, (ii) 267,979 shares held of record by PVPFF VI, (iii) 3,280,842 shares held of record by PVP VI (AIV) and (iv) 806,528 shares held of record by PVP VI (AIV-B). PVM VI, the general partner of each of PVP VI, PVPFF VI, PVP VI (AIV) and PVP VI (AIV-B),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Bryce Youngren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11,864.00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4,853,817.00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4,853,817.00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4,865,681.00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5 and 7 are held directly by Bryce Youngren. The shares reported in Rows 6 and 8 consist of (i) 498,468 shares held of record by PVP VI, (ii) 267,979 shares held of record by PVPFF VI, (iii) 3,280,842 shares held of record by PVP VI (AIV) and (iv) 806,528 shares held of record by PVP VI (AIV-B). PVM VI, the general partner of each of PVP VI, PVPFF VI, PVP VI (AIV) and PVP VI (AIV-B), may be deemed to have voting, investment and dispositive power with respect to these securities. David Barrett, Brian Chee, Jonathan A. Flint, Terrance G. McGuire, Amir Nashat, and Bryce Youngren are the managing members of PVM VI and may each be deemed to share voting, investment and dispositive power with respect to these securities. The percentage in Row 11 is based on 110,362,581 shares of Common Stock outstanding as of February 20, 2026, as set forth in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item1to9"/>
      <w:bookmarkStart w:id="51" w:name="item1to9"/>
      <w:bookmarkEnd w:id="51"/>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w:t>
            </w:r>
          </w:p>
        </w:tc>
        <w:tc>
          <w:tcPr>
            <w:tcW w:w="9039" w:type="dxa"/>
            <w:tcBorders/>
            <w:vAlign w:val="center"/>
          </w:tcPr>
          <w:p>
            <w:pPr>
              <w:pStyle w:val="TableContents"/>
              <w:bidi w:val="0"/>
              <w:spacing w:before="0" w:after="283"/>
              <w:jc w:val="left"/>
              <w:rPr/>
            </w:pPr>
            <w:r>
              <w:rPr/>
              <w:t> </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jc w:val="left"/>
              <w:rPr/>
            </w:pPr>
            <w:r>
              <w:rPr/>
              <w:t xml:space="preserve">Name of issuer: </w:t>
            </w:r>
          </w:p>
          <w:p>
            <w:pPr>
              <w:pStyle w:val="TableContents"/>
              <w:bidi w:val="0"/>
              <w:spacing w:before="0" w:after="0"/>
              <w:jc w:val="left"/>
              <w:rPr/>
            </w:pPr>
            <w:r>
              <w:rPr/>
              <w:t>Alector, Inc.</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 OYSTER POINT BLVD., SUITE 600, SOUTH SAN FRANCISCO, CA, 94080</w:t>
            </w:r>
          </w:p>
        </w:tc>
      </w:tr>
      <w:tr>
        <w:trPr/>
        <w:tc>
          <w:tcPr>
            <w:tcW w:w="1166" w:type="dxa"/>
            <w:tcBorders/>
            <w:vAlign w:val="center"/>
          </w:tcPr>
          <w:p>
            <w:pPr>
              <w:pStyle w:val="TableContents"/>
              <w:bidi w:val="0"/>
              <w:spacing w:before="0" w:after="283"/>
              <w:jc w:val="left"/>
              <w:rPr/>
            </w:pPr>
            <w:r>
              <w:rPr/>
              <w:t>Item 2.</w:t>
            </w:r>
          </w:p>
        </w:tc>
        <w:tc>
          <w:tcPr>
            <w:tcW w:w="9039" w:type="dxa"/>
            <w:tcBorders/>
            <w:vAlign w:val="center"/>
          </w:tcPr>
          <w:p>
            <w:pPr>
              <w:pStyle w:val="TableContents"/>
              <w:bidi w:val="0"/>
              <w:spacing w:before="0" w:after="283"/>
              <w:jc w:val="left"/>
              <w:rPr/>
            </w:pPr>
            <w:r>
              <w:rPr/>
              <w:t> </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7 (this "Amendment") amends and supplements the Schedule 13G initially filed with the Commission on February 12, 2020, as amended by Amendment No. 1 filed with the Commission on February 12, 2021, Amendment No. 2 filed with the Commission on February 11, 2022, Amendment No. 3 filed with the Commission on February 7, 2023, Amendment No. 4 filed with the Commission on February 9, 2024, Amendment No. 5 filed with the Commission on November 12, 2024, and Amendment No. 6 filed with the Commission on November 13, 2025 (collectively,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have the meanings ascribed to them in the Original Schedule 13G. The following information in Item 4 with respect to the ownership of the Issuer's Common Stock by the Reporting Persons filing this Amendment No. 7 is provided as of April 30, 2026. Each of the Reporting Persons disclaims beneficial ownership of the shares of Common Stock reported in this Amendment No. 7, except for the shares, if any, such Reporting Person holds of record and to the extent of such Reporting Person's pecuniary interest therein.</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spacing w:before="0" w:after="283"/>
              <w:jc w:val="left"/>
              <w:rPr/>
            </w:pPr>
            <w:r>
              <w:rPr/>
              <w:t xml:space="preserve">Address or principal business office or, if none, residence: </w:t>
            </w:r>
          </w:p>
        </w:tc>
      </w:tr>
      <w:tr>
        <w:trPr/>
        <w:tc>
          <w:tcPr>
            <w:tcW w:w="1166" w:type="dxa"/>
            <w:tcBorders/>
            <w:vAlign w:val="center"/>
          </w:tcPr>
          <w:p>
            <w:pPr>
              <w:pStyle w:val="TableContents"/>
              <w:bidi w:val="0"/>
              <w:spacing w:before="0" w:after="283"/>
              <w:jc w:val="left"/>
              <w:rPr/>
            </w:pPr>
            <w:r>
              <w:rPr/>
              <w:t>(c)</w:t>
            </w:r>
          </w:p>
        </w:tc>
        <w:tc>
          <w:tcPr>
            <w:tcW w:w="9039" w:type="dxa"/>
            <w:tcBorders/>
            <w:vAlign w:val="center"/>
          </w:tcPr>
          <w:p>
            <w:pPr>
              <w:pStyle w:val="TableContents"/>
              <w:bidi w:val="0"/>
              <w:spacing w:before="0" w:after="283"/>
              <w:jc w:val="left"/>
              <w:rPr/>
            </w:pPr>
            <w:r>
              <w:rPr/>
              <w:t xml:space="preserve">Citizenship: </w:t>
            </w:r>
          </w:p>
        </w:tc>
      </w:tr>
      <w:tr>
        <w:trPr/>
        <w:tc>
          <w:tcPr>
            <w:tcW w:w="1166" w:type="dxa"/>
            <w:tcBorders/>
            <w:vAlign w:val="center"/>
          </w:tcPr>
          <w:p>
            <w:pPr>
              <w:pStyle w:val="TableContents"/>
              <w:bidi w:val="0"/>
              <w:spacing w:before="0" w:after="283"/>
              <w:jc w:val="left"/>
              <w:rPr/>
            </w:pPr>
            <w:r>
              <w:rPr/>
              <w:t>(d)</w:t>
            </w:r>
          </w:p>
        </w:tc>
        <w:tc>
          <w:tcPr>
            <w:tcW w:w="90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r>
      <w:tr>
        <w:trPr/>
        <w:tc>
          <w:tcPr>
            <w:tcW w:w="1166" w:type="dxa"/>
            <w:tcBorders/>
            <w:vAlign w:val="center"/>
          </w:tcPr>
          <w:p>
            <w:pPr>
              <w:pStyle w:val="TableContents"/>
              <w:bidi w:val="0"/>
              <w:spacing w:before="0" w:after="283"/>
              <w:jc w:val="left"/>
              <w:rPr/>
            </w:pPr>
            <w:r>
              <w:rPr/>
              <w:t>(e)</w:t>
            </w:r>
          </w:p>
        </w:tc>
        <w:tc>
          <w:tcPr>
            <w:tcW w:w="9039" w:type="dxa"/>
            <w:tcBorders/>
            <w:vAlign w:val="center"/>
          </w:tcPr>
          <w:p>
            <w:pPr>
              <w:pStyle w:val="TableContents"/>
              <w:bidi w:val="0"/>
              <w:spacing w:before="0" w:after="283"/>
              <w:jc w:val="left"/>
              <w:rPr/>
            </w:pPr>
            <w:r>
              <w:rPr/>
              <w:t xml:space="preserve">CUSIP No.: </w:t>
            </w:r>
          </w:p>
        </w:tc>
      </w:tr>
      <w:tr>
        <w:trPr/>
        <w:tc>
          <w:tcPr>
            <w:tcW w:w="1166" w:type="dxa"/>
            <w:tcBorders/>
            <w:vAlign w:val="center"/>
          </w:tcPr>
          <w:p>
            <w:pPr>
              <w:pStyle w:val="TableContents"/>
              <w:bidi w:val="0"/>
              <w:spacing w:before="0" w:after="283"/>
              <w:jc w:val="left"/>
              <w:rPr/>
            </w:pPr>
            <w:r>
              <w:rPr/>
              <w:t>Item 4.</w:t>
            </w:r>
          </w:p>
        </w:tc>
        <w:tc>
          <w:tcPr>
            <w:tcW w:w="9039" w:type="dxa"/>
            <w:tcBorders/>
            <w:vAlign w:val="center"/>
          </w:tcPr>
          <w:p>
            <w:pPr>
              <w:pStyle w:val="TableContents"/>
              <w:bidi w:val="0"/>
              <w:spacing w:before="0" w:after="283"/>
              <w:jc w:val="left"/>
              <w:rPr/>
            </w:pPr>
            <w:r>
              <w:rPr/>
              <w:t>Ownership</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 and the corresponding footnotes.</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and the corresponding footnotes.  % </w:t>
            </w:r>
          </w:p>
        </w:tc>
      </w:tr>
      <w:tr>
        <w:trPr/>
        <w:tc>
          <w:tcPr>
            <w:tcW w:w="1166" w:type="dxa"/>
            <w:tcBorders/>
            <w:vAlign w:val="center"/>
          </w:tcPr>
          <w:p>
            <w:pPr>
              <w:pStyle w:val="TableContents"/>
              <w:bidi w:val="0"/>
              <w:spacing w:before="0" w:after="283"/>
              <w:jc w:val="left"/>
              <w:rPr/>
            </w:pPr>
            <w:r>
              <w:rPr/>
              <w:t>(c)</w:t>
            </w:r>
          </w:p>
        </w:tc>
        <w:tc>
          <w:tcPr>
            <w:tcW w:w="9039" w:type="dxa"/>
            <w:tcBorders/>
            <w:vAlign w:val="center"/>
          </w:tcPr>
          <w:p>
            <w:pPr>
              <w:pStyle w:val="TableContents"/>
              <w:bidi w:val="0"/>
              <w:spacing w:before="0" w:after="283"/>
              <w:jc w:val="left"/>
              <w:rPr/>
            </w:pPr>
            <w:r>
              <w:rPr/>
              <w:t xml:space="preserve">Number of shares as to which the person has: </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 and the corresponding footnotes.</w:t>
            </w:r>
          </w:p>
          <w:p>
            <w:pPr>
              <w:pStyle w:val="TableContents"/>
              <w:bidi w:val="0"/>
              <w:spacing w:before="0" w:after="0"/>
              <w:jc w:val="left"/>
              <w:rPr/>
            </w:pPr>
            <w:r>
              <w:rPr/>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 and the corresponding footnotes.</w:t>
            </w:r>
          </w:p>
          <w:p>
            <w:pPr>
              <w:pStyle w:val="TableContents"/>
              <w:bidi w:val="0"/>
              <w:spacing w:before="0" w:after="0"/>
              <w:jc w:val="left"/>
              <w:rPr/>
            </w:pPr>
            <w:r>
              <w:rPr/>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 and the corresponding footnotes.</w:t>
            </w:r>
          </w:p>
          <w:p>
            <w:pPr>
              <w:pStyle w:val="TableContents"/>
              <w:bidi w:val="0"/>
              <w:spacing w:before="0" w:after="0"/>
              <w:jc w:val="left"/>
              <w:rPr/>
            </w:pPr>
            <w:r>
              <w:rPr/>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 and the corresponding footnotes.</w:t>
            </w:r>
          </w:p>
          <w:p>
            <w:pPr>
              <w:pStyle w:val="TableContents"/>
              <w:bidi w:val="0"/>
              <w:spacing w:before="0" w:after="0"/>
              <w:jc w:val="left"/>
              <w:rPr/>
            </w:pPr>
            <w:r>
              <w:rPr/>
            </w:r>
          </w:p>
        </w:tc>
      </w:tr>
      <w:tr>
        <w:trPr/>
        <w:tc>
          <w:tcPr>
            <w:tcW w:w="1166" w:type="dxa"/>
            <w:tcBorders/>
            <w:vAlign w:val="center"/>
          </w:tcPr>
          <w:p>
            <w:pPr>
              <w:pStyle w:val="TableContents"/>
              <w:bidi w:val="0"/>
              <w:spacing w:before="0" w:after="283"/>
              <w:jc w:val="left"/>
              <w:rPr/>
            </w:pPr>
            <w:r>
              <w:rPr/>
              <w:t>Item 5.</w:t>
            </w:r>
          </w:p>
        </w:tc>
        <w:tc>
          <w:tcPr>
            <w:tcW w:w="9039" w:type="dxa"/>
            <w:tcBorders/>
            <w:vAlign w:val="center"/>
          </w:tcPr>
          <w:p>
            <w:pPr>
              <w:pStyle w:val="TableContents"/>
              <w:bidi w:val="0"/>
              <w:spacing w:before="0" w:after="283"/>
              <w:jc w:val="left"/>
              <w:rPr/>
            </w:pPr>
            <w:r>
              <w:rPr/>
              <w:t>Ownership of 5 Percent or Less of a Class.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certifications"/>
      <w:bookmarkStart w:id="53" w:name="certifications"/>
      <w:bookmarkEnd w:id="5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signatureInfo"/>
      <w:bookmarkStart w:id="55" w:name="signatureInfo"/>
      <w:bookmarkEnd w:id="5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Polaris Venture Partners VI,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Lauren Crockett</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Lauren Crockett/ Authorized Signatory of Polaris Venture Management Co. VI, L.L.C., general partner of Polaris Venture Partners VI, L.P.</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10000" w:type="dxa"/>
        <w:jc w:val="left"/>
        <w:tblInd w:w="0" w:type="dxa"/>
        <w:tblLayout w:type="fixed"/>
        <w:tblCellMar>
          <w:top w:w="28" w:type="dxa"/>
          <w:left w:w="28" w:type="dxa"/>
          <w:bottom w:w="28" w:type="dxa"/>
          <w:right w:w="28" w:type="dxa"/>
        </w:tblCellMar>
      </w:tblPr>
      <w:tblGrid>
        <w:gridCol w:w="5000"/>
        <w:gridCol w:w="5000"/>
      </w:tblGrid>
      <w:tr>
        <w:trPr/>
        <w:tc>
          <w:tcPr>
            <w:tcW w:w="5000" w:type="dxa"/>
            <w:tcBorders/>
            <w:vAlign w:val="center"/>
          </w:tcPr>
          <w:p>
            <w:pPr>
              <w:pStyle w:val="TableContents"/>
              <w:bidi w:val="0"/>
              <w:spacing w:before="0" w:after="0"/>
              <w:jc w:val="left"/>
              <w:rPr/>
            </w:pPr>
            <w:r>
              <w:rPr/>
              <w:t> </w:t>
            </w:r>
          </w:p>
          <w:tbl>
            <w:tblPr>
              <w:tblW w:w="4846" w:type="dxa"/>
              <w:jc w:val="left"/>
              <w:tblInd w:w="0" w:type="dxa"/>
              <w:tblLayout w:type="fixed"/>
              <w:tblCellMar>
                <w:top w:w="28" w:type="dxa"/>
                <w:left w:w="28" w:type="dxa"/>
                <w:bottom w:w="28" w:type="dxa"/>
                <w:right w:w="28" w:type="dxa"/>
              </w:tblCellMar>
            </w:tblPr>
            <w:tblGrid>
              <w:gridCol w:w="4846"/>
            </w:tblGrid>
            <w:tr>
              <w:trPr/>
              <w:tc>
                <w:tcPr>
                  <w:tcW w:w="4846" w:type="dxa"/>
                  <w:tcBorders/>
                  <w:vAlign w:val="center"/>
                </w:tcPr>
                <w:p>
                  <w:pPr>
                    <w:pStyle w:val="TableContents"/>
                    <w:bidi w:val="0"/>
                    <w:spacing w:before="0" w:after="0"/>
                    <w:jc w:val="left"/>
                    <w:rPr/>
                  </w:pPr>
                  <w:r>
                    <w:rPr/>
                    <w:t>Polaris Venture Partners Founders' Fund VI, L.P.</w:t>
                  </w:r>
                </w:p>
              </w:tc>
            </w:tr>
          </w:tbl>
          <w:p>
            <w:pPr>
              <w:pStyle w:val="TableContents"/>
              <w:bidi w:val="0"/>
              <w:spacing w:before="0" w:after="283"/>
              <w:jc w:val="left"/>
              <w:rPr/>
            </w:pPr>
            <w:r>
              <w:rPr/>
            </w:r>
          </w:p>
        </w:tc>
        <w:tc>
          <w:tcPr>
            <w:tcW w:w="5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Lauren Crockett</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Lauren Crockett/ Authorized Signatory of Polaris Venture Management Co. VI, L.L.C., GP of Polaris Venture Partners Founders' Fund VI,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Polaris Venture Partners VI (AIV),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Lauren Crockett</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Lauren Crockett/ Authorized Signatory of Polaris Venture Management Co. VI, L.L.C., general partner of Polaris Venture Partners VI (AIV), L.P.</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Polaris Venture Partners VI (AIV-B),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Lauren Crockett</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Lauren Crockett/ Authorized Signatory of Polaris Venture Management Co. VI, L.L.C., general partner of Polaris Venture Partners VI (AIV-B),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030" w:type="dxa"/>
        <w:jc w:val="left"/>
        <w:tblInd w:w="0" w:type="dxa"/>
        <w:tblLayout w:type="fixed"/>
        <w:tblCellMar>
          <w:top w:w="28" w:type="dxa"/>
          <w:left w:w="28" w:type="dxa"/>
          <w:bottom w:w="28" w:type="dxa"/>
          <w:right w:w="28" w:type="dxa"/>
        </w:tblCellMar>
      </w:tblPr>
      <w:tblGrid>
        <w:gridCol w:w="4515"/>
        <w:gridCol w:w="4515"/>
      </w:tblGrid>
      <w:tr>
        <w:trPr/>
        <w:tc>
          <w:tcPr>
            <w:tcW w:w="4515" w:type="dxa"/>
            <w:tcBorders/>
            <w:vAlign w:val="center"/>
          </w:tcPr>
          <w:p>
            <w:pPr>
              <w:pStyle w:val="TableContents"/>
              <w:bidi w:val="0"/>
              <w:spacing w:before="0" w:after="0"/>
              <w:jc w:val="left"/>
              <w:rPr/>
            </w:pPr>
            <w:r>
              <w:rPr/>
              <w:t> </w:t>
            </w:r>
          </w:p>
          <w:tbl>
            <w:tblPr>
              <w:tblW w:w="4351" w:type="dxa"/>
              <w:jc w:val="left"/>
              <w:tblInd w:w="0" w:type="dxa"/>
              <w:tblLayout w:type="fixed"/>
              <w:tblCellMar>
                <w:top w:w="28" w:type="dxa"/>
                <w:left w:w="28" w:type="dxa"/>
                <w:bottom w:w="28" w:type="dxa"/>
                <w:right w:w="28" w:type="dxa"/>
              </w:tblCellMar>
            </w:tblPr>
            <w:tblGrid>
              <w:gridCol w:w="4351"/>
            </w:tblGrid>
            <w:tr>
              <w:trPr/>
              <w:tc>
                <w:tcPr>
                  <w:tcW w:w="4351" w:type="dxa"/>
                  <w:tcBorders/>
                  <w:vAlign w:val="center"/>
                </w:tcPr>
                <w:p>
                  <w:pPr>
                    <w:pStyle w:val="TableContents"/>
                    <w:bidi w:val="0"/>
                    <w:spacing w:before="0" w:after="0"/>
                    <w:jc w:val="left"/>
                    <w:rPr/>
                  </w:pPr>
                  <w:r>
                    <w:rPr/>
                    <w:t>Polaris Venture Management Co VI, L.L.C.</w:t>
                  </w:r>
                </w:p>
              </w:tc>
            </w:tr>
          </w:tbl>
          <w:p>
            <w:pPr>
              <w:pStyle w:val="TableContents"/>
              <w:bidi w:val="0"/>
              <w:spacing w:before="0" w:after="283"/>
              <w:jc w:val="left"/>
              <w:rPr/>
            </w:pPr>
            <w:r>
              <w:rPr/>
            </w:r>
          </w:p>
        </w:tc>
        <w:tc>
          <w:tcPr>
            <w:tcW w:w="45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Lauren Crockett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Lauren Crockett/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168" w:type="dxa"/>
        <w:jc w:val="left"/>
        <w:tblInd w:w="0" w:type="dxa"/>
        <w:tblLayout w:type="fixed"/>
        <w:tblCellMar>
          <w:top w:w="28" w:type="dxa"/>
          <w:left w:w="28" w:type="dxa"/>
          <w:bottom w:w="28" w:type="dxa"/>
          <w:right w:w="28" w:type="dxa"/>
        </w:tblCellMar>
      </w:tblPr>
      <w:tblGrid>
        <w:gridCol w:w="1584"/>
        <w:gridCol w:w="1584"/>
      </w:tblGrid>
      <w:tr>
        <w:trPr/>
        <w:tc>
          <w:tcPr>
            <w:tcW w:w="1584" w:type="dxa"/>
            <w:tcBorders/>
            <w:vAlign w:val="center"/>
          </w:tcPr>
          <w:p>
            <w:pPr>
              <w:pStyle w:val="TableContents"/>
              <w:bidi w:val="0"/>
              <w:spacing w:before="0" w:after="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0"/>
                    <w:jc w:val="left"/>
                    <w:rPr/>
                  </w:pPr>
                  <w:r>
                    <w:rPr/>
                    <w:t>David Barrett</w:t>
                  </w:r>
                </w:p>
              </w:tc>
            </w:tr>
          </w:tbl>
          <w:p>
            <w:pPr>
              <w:pStyle w:val="TableContents"/>
              <w:bidi w:val="0"/>
              <w:spacing w:before="0" w:after="283"/>
              <w:jc w:val="left"/>
              <w:rPr/>
            </w:pPr>
            <w:r>
              <w:rPr/>
            </w:r>
          </w:p>
        </w:tc>
        <w:tc>
          <w:tcPr>
            <w:tcW w:w="15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 Crockett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Lauren Crockett/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Brian Chee</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 Crockett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Lauren Crockett/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Jonathan A. Flint</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 Crockett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Lauren Crockett/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Terrance G. McGuire</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 Crockett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Lauren Crockett/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Amir Nashat</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 Crockett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Lauren Crockett/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Bryce Youngren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 Crockett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Lauren Crockett/ Attorney-In-Fact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This Schedule 13G was executed pursuant to a Power of Attorney. Note that copies of the applicable Power of Attorney are already on file with the appropriate agencies.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3820</Words>
  <Characters>19064</Characters>
  <CharactersWithSpaces>22661</CharactersWithSpaces>
  <Paragraphs>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